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B67D1" w14:textId="77777777" w:rsidR="006D75B3" w:rsidRDefault="006D75B3"/>
    <w:tbl>
      <w:tblPr>
        <w:tblW w:w="5000" w:type="pct"/>
        <w:tblLayout w:type="fixed"/>
        <w:tblCellMar>
          <w:left w:w="0" w:type="dxa"/>
          <w:right w:w="0" w:type="dxa"/>
        </w:tblCellMar>
        <w:tblLook w:val="0000" w:firstRow="0" w:lastRow="0" w:firstColumn="0" w:lastColumn="0" w:noHBand="0" w:noVBand="0"/>
      </w:tblPr>
      <w:tblGrid>
        <w:gridCol w:w="4728"/>
        <w:gridCol w:w="987"/>
        <w:gridCol w:w="3645"/>
      </w:tblGrid>
      <w:tr w:rsidR="006D75B3" w:rsidRPr="00BA620E" w14:paraId="3C0B67D5" w14:textId="77777777" w:rsidTr="006D75B3">
        <w:tc>
          <w:tcPr>
            <w:tcW w:w="4728" w:type="dxa"/>
          </w:tcPr>
          <w:p w14:paraId="3C0B67D2" w14:textId="77777777" w:rsidR="006D75B3" w:rsidRPr="00BA620E" w:rsidRDefault="006D75B3" w:rsidP="00C803F8">
            <w:pPr>
              <w:pStyle w:val="DNVGL-Details"/>
              <w:rPr>
                <w:b/>
                <w:bCs/>
                <w:noProof w:val="0"/>
              </w:rPr>
            </w:pPr>
            <w:bookmarkStart w:id="0" w:name="OnsiteDiscussion"/>
            <w:r w:rsidRPr="00BA620E">
              <w:rPr>
                <w:b/>
                <w:bCs/>
                <w:noProof w:val="0"/>
              </w:rPr>
              <w:t xml:space="preserve">Memo to:  </w:t>
            </w:r>
            <w:r w:rsidR="00C803F8">
              <w:rPr>
                <w:noProof w:val="0"/>
              </w:rPr>
              <w:t>Bronwyn Cooke, City of Cambridge</w:t>
            </w:r>
          </w:p>
        </w:tc>
        <w:tc>
          <w:tcPr>
            <w:tcW w:w="987" w:type="dxa"/>
          </w:tcPr>
          <w:p w14:paraId="3C0B67D3" w14:textId="77777777" w:rsidR="006D75B3" w:rsidRPr="00BA620E" w:rsidRDefault="006D75B3" w:rsidP="002D153B">
            <w:pPr>
              <w:pStyle w:val="DNVGL-Details"/>
              <w:rPr>
                <w:b/>
                <w:bCs/>
                <w:noProof w:val="0"/>
              </w:rPr>
            </w:pPr>
          </w:p>
        </w:tc>
        <w:tc>
          <w:tcPr>
            <w:tcW w:w="3645" w:type="dxa"/>
            <w:shd w:val="clear" w:color="auto" w:fill="auto"/>
            <w:tcMar>
              <w:left w:w="0" w:type="dxa"/>
            </w:tcMar>
          </w:tcPr>
          <w:p w14:paraId="5519483E" w14:textId="77777777" w:rsidR="006D75B3" w:rsidRDefault="006D75B3" w:rsidP="00C803F8">
            <w:pPr>
              <w:pStyle w:val="DNVGL-Details"/>
              <w:rPr>
                <w:noProof w:val="0"/>
              </w:rPr>
            </w:pPr>
            <w:r w:rsidRPr="006D75B3">
              <w:rPr>
                <w:b/>
                <w:bCs/>
                <w:noProof w:val="0"/>
              </w:rPr>
              <w:t>Date:</w:t>
            </w:r>
            <w:r>
              <w:rPr>
                <w:noProof w:val="0"/>
              </w:rPr>
              <w:t xml:space="preserve"> </w:t>
            </w:r>
            <w:r w:rsidR="00C803F8">
              <w:rPr>
                <w:noProof w:val="0"/>
              </w:rPr>
              <w:t>Aug. 2</w:t>
            </w:r>
            <w:r w:rsidR="0016698E">
              <w:rPr>
                <w:noProof w:val="0"/>
              </w:rPr>
              <w:t>, 2016</w:t>
            </w:r>
          </w:p>
          <w:p w14:paraId="3C0B67D4" w14:textId="695E0315" w:rsidR="00DD7ACA" w:rsidRPr="00BA620E" w:rsidRDefault="00DD7ACA" w:rsidP="00C803F8">
            <w:pPr>
              <w:pStyle w:val="DNVGL-Details"/>
              <w:rPr>
                <w:noProof w:val="0"/>
              </w:rPr>
            </w:pPr>
            <w:r>
              <w:rPr>
                <w:noProof w:val="0"/>
              </w:rPr>
              <w:t xml:space="preserve">(Updated </w:t>
            </w:r>
            <w:r w:rsidR="00A52EBD">
              <w:rPr>
                <w:noProof w:val="0"/>
              </w:rPr>
              <w:t xml:space="preserve">March </w:t>
            </w:r>
            <w:r w:rsidR="004C6A45">
              <w:rPr>
                <w:noProof w:val="0"/>
              </w:rPr>
              <w:t>31</w:t>
            </w:r>
            <w:r w:rsidR="00C5272F">
              <w:rPr>
                <w:noProof w:val="0"/>
              </w:rPr>
              <w:t>,</w:t>
            </w:r>
            <w:r>
              <w:rPr>
                <w:noProof w:val="0"/>
              </w:rPr>
              <w:t xml:space="preserve"> 201</w:t>
            </w:r>
            <w:r w:rsidR="00C5272F">
              <w:rPr>
                <w:noProof w:val="0"/>
              </w:rPr>
              <w:t>7</w:t>
            </w:r>
            <w:r>
              <w:rPr>
                <w:noProof w:val="0"/>
              </w:rPr>
              <w:t>)</w:t>
            </w:r>
          </w:p>
        </w:tc>
      </w:tr>
      <w:tr w:rsidR="006D75B3" w:rsidRPr="00BA620E" w14:paraId="3C0B67DB" w14:textId="77777777" w:rsidTr="006D75B3">
        <w:tc>
          <w:tcPr>
            <w:tcW w:w="4728" w:type="dxa"/>
            <w:vMerge w:val="restart"/>
          </w:tcPr>
          <w:p w14:paraId="3C0B67D6" w14:textId="77777777" w:rsidR="00682F6F" w:rsidRDefault="00682F6F" w:rsidP="00682F6F">
            <w:pPr>
              <w:pStyle w:val="DNVGL-Details"/>
              <w:rPr>
                <w:b/>
                <w:bCs/>
                <w:noProof w:val="0"/>
              </w:rPr>
            </w:pPr>
          </w:p>
          <w:p w14:paraId="3C0B67D7" w14:textId="489134B5" w:rsidR="00682F6F" w:rsidRDefault="00682F6F" w:rsidP="00682F6F">
            <w:pPr>
              <w:pStyle w:val="DNVGL-Details"/>
              <w:rPr>
                <w:noProof w:val="0"/>
              </w:rPr>
            </w:pPr>
            <w:r w:rsidRPr="00BA620E">
              <w:rPr>
                <w:b/>
                <w:bCs/>
                <w:noProof w:val="0"/>
              </w:rPr>
              <w:t>From:</w:t>
            </w:r>
            <w:r>
              <w:rPr>
                <w:b/>
                <w:bCs/>
                <w:noProof w:val="0"/>
              </w:rPr>
              <w:t xml:space="preserve"> </w:t>
            </w:r>
            <w:r w:rsidRPr="006D75B3">
              <w:rPr>
                <w:noProof w:val="0"/>
              </w:rPr>
              <w:t xml:space="preserve">Jim Leahy, </w:t>
            </w:r>
            <w:r w:rsidR="0020714F">
              <w:rPr>
                <w:noProof w:val="0"/>
              </w:rPr>
              <w:t xml:space="preserve">Ben Butterworth, Matthew Fitzgerald, </w:t>
            </w:r>
            <w:r w:rsidRPr="006D75B3">
              <w:rPr>
                <w:noProof w:val="0"/>
              </w:rPr>
              <w:t>DNV GL</w:t>
            </w:r>
          </w:p>
          <w:p w14:paraId="3C0B67D8" w14:textId="77777777" w:rsidR="006D75B3" w:rsidRPr="00BA620E" w:rsidRDefault="006D75B3" w:rsidP="002D153B">
            <w:pPr>
              <w:pStyle w:val="DNVGL-Details"/>
              <w:rPr>
                <w:noProof w:val="0"/>
              </w:rPr>
            </w:pPr>
          </w:p>
        </w:tc>
        <w:tc>
          <w:tcPr>
            <w:tcW w:w="987" w:type="dxa"/>
          </w:tcPr>
          <w:p w14:paraId="3C0B67D9" w14:textId="77777777" w:rsidR="006D75B3" w:rsidRPr="00BA620E" w:rsidRDefault="006D75B3" w:rsidP="002D153B">
            <w:pPr>
              <w:pStyle w:val="DNVGL-Details"/>
              <w:rPr>
                <w:b/>
                <w:bCs/>
                <w:noProof w:val="0"/>
              </w:rPr>
            </w:pPr>
          </w:p>
        </w:tc>
        <w:tc>
          <w:tcPr>
            <w:tcW w:w="3645" w:type="dxa"/>
            <w:shd w:val="clear" w:color="auto" w:fill="auto"/>
            <w:tcMar>
              <w:left w:w="0" w:type="dxa"/>
            </w:tcMar>
          </w:tcPr>
          <w:p w14:paraId="3C0B67DA" w14:textId="77777777" w:rsidR="006D75B3" w:rsidRPr="00BA620E" w:rsidRDefault="006D75B3" w:rsidP="002D153B">
            <w:pPr>
              <w:pStyle w:val="DNVGL-Details"/>
              <w:rPr>
                <w:noProof w:val="0"/>
              </w:rPr>
            </w:pPr>
          </w:p>
        </w:tc>
      </w:tr>
      <w:tr w:rsidR="006D75B3" w:rsidRPr="00BA620E" w14:paraId="3C0B67DF" w14:textId="77777777" w:rsidTr="006D75B3">
        <w:trPr>
          <w:trHeight w:val="151"/>
        </w:trPr>
        <w:tc>
          <w:tcPr>
            <w:tcW w:w="4728" w:type="dxa"/>
            <w:vMerge/>
          </w:tcPr>
          <w:p w14:paraId="3C0B67DC" w14:textId="77777777" w:rsidR="006D75B3" w:rsidRPr="0003654F" w:rsidRDefault="006D75B3" w:rsidP="002D153B">
            <w:pPr>
              <w:pStyle w:val="DNVGL-Details"/>
              <w:rPr>
                <w:noProof w:val="0"/>
              </w:rPr>
            </w:pPr>
          </w:p>
        </w:tc>
        <w:tc>
          <w:tcPr>
            <w:tcW w:w="987" w:type="dxa"/>
          </w:tcPr>
          <w:p w14:paraId="3C0B67DD" w14:textId="77777777" w:rsidR="006D75B3" w:rsidRPr="00BA620E" w:rsidRDefault="006D75B3" w:rsidP="002D153B">
            <w:pPr>
              <w:pStyle w:val="DNVGL-Details"/>
              <w:rPr>
                <w:b/>
                <w:bCs/>
                <w:noProof w:val="0"/>
              </w:rPr>
            </w:pPr>
          </w:p>
        </w:tc>
        <w:tc>
          <w:tcPr>
            <w:tcW w:w="3645" w:type="dxa"/>
            <w:shd w:val="clear" w:color="auto" w:fill="auto"/>
            <w:tcMar>
              <w:left w:w="0" w:type="dxa"/>
            </w:tcMar>
          </w:tcPr>
          <w:p w14:paraId="3C0B67DE" w14:textId="77777777" w:rsidR="006D75B3" w:rsidRDefault="006D75B3" w:rsidP="002D153B">
            <w:pPr>
              <w:pStyle w:val="DNVGL-Details"/>
              <w:rPr>
                <w:noProof w:val="0"/>
              </w:rPr>
            </w:pPr>
          </w:p>
        </w:tc>
      </w:tr>
      <w:tr w:rsidR="006D75B3" w:rsidRPr="00BA620E" w14:paraId="3C0B67E3" w14:textId="77777777" w:rsidTr="006D75B3">
        <w:tc>
          <w:tcPr>
            <w:tcW w:w="4728" w:type="dxa"/>
            <w:vMerge/>
          </w:tcPr>
          <w:p w14:paraId="3C0B67E0" w14:textId="77777777" w:rsidR="006D75B3" w:rsidRPr="00BA620E" w:rsidRDefault="006D75B3" w:rsidP="002D153B">
            <w:pPr>
              <w:pStyle w:val="DNVGL-Details"/>
              <w:rPr>
                <w:noProof w:val="0"/>
              </w:rPr>
            </w:pPr>
          </w:p>
        </w:tc>
        <w:tc>
          <w:tcPr>
            <w:tcW w:w="987" w:type="dxa"/>
          </w:tcPr>
          <w:p w14:paraId="3C0B67E1" w14:textId="77777777" w:rsidR="006D75B3" w:rsidRPr="00BA620E" w:rsidRDefault="006D75B3" w:rsidP="002D153B">
            <w:pPr>
              <w:pStyle w:val="DNVGL-Details"/>
              <w:rPr>
                <w:b/>
                <w:bCs/>
                <w:noProof w:val="0"/>
              </w:rPr>
            </w:pPr>
          </w:p>
        </w:tc>
        <w:tc>
          <w:tcPr>
            <w:tcW w:w="3645" w:type="dxa"/>
            <w:shd w:val="clear" w:color="auto" w:fill="auto"/>
            <w:tcMar>
              <w:left w:w="0" w:type="dxa"/>
            </w:tcMar>
          </w:tcPr>
          <w:p w14:paraId="3C0B67E2" w14:textId="77777777" w:rsidR="006D75B3" w:rsidRPr="00BA620E" w:rsidRDefault="006D75B3" w:rsidP="002D153B">
            <w:pPr>
              <w:pStyle w:val="DNVGL-Details"/>
              <w:rPr>
                <w:noProof w:val="0"/>
              </w:rPr>
            </w:pPr>
          </w:p>
        </w:tc>
      </w:tr>
      <w:tr w:rsidR="006D75B3" w:rsidRPr="00BA620E" w14:paraId="3C0B67E7" w14:textId="77777777" w:rsidTr="006D75B3">
        <w:tc>
          <w:tcPr>
            <w:tcW w:w="4728" w:type="dxa"/>
          </w:tcPr>
          <w:p w14:paraId="3C0B67E4" w14:textId="523FA275" w:rsidR="00BB15CD" w:rsidRPr="00BA620E" w:rsidRDefault="006D75B3" w:rsidP="00160644">
            <w:pPr>
              <w:pStyle w:val="DNVGL-Details"/>
              <w:rPr>
                <w:noProof w:val="0"/>
              </w:rPr>
            </w:pPr>
            <w:r w:rsidRPr="00BA620E">
              <w:rPr>
                <w:b/>
                <w:bCs/>
                <w:noProof w:val="0"/>
              </w:rPr>
              <w:t>Copied to:</w:t>
            </w:r>
            <w:r w:rsidR="00682F6F">
              <w:rPr>
                <w:b/>
                <w:bCs/>
                <w:noProof w:val="0"/>
              </w:rPr>
              <w:t xml:space="preserve"> </w:t>
            </w:r>
            <w:r w:rsidR="00160644">
              <w:rPr>
                <w:noProof w:val="0"/>
              </w:rPr>
              <w:t xml:space="preserve">Betty </w:t>
            </w:r>
            <w:proofErr w:type="spellStart"/>
            <w:r w:rsidR="00160644">
              <w:rPr>
                <w:noProof w:val="0"/>
              </w:rPr>
              <w:t>Seto</w:t>
            </w:r>
            <w:proofErr w:type="spellEnd"/>
            <w:r w:rsidR="00160644">
              <w:rPr>
                <w:noProof w:val="0"/>
              </w:rPr>
              <w:t>, DNV GL</w:t>
            </w:r>
            <w:r w:rsidR="0020714F">
              <w:rPr>
                <w:noProof w:val="0"/>
              </w:rPr>
              <w:t xml:space="preserve">, Manisha </w:t>
            </w:r>
            <w:proofErr w:type="spellStart"/>
            <w:r w:rsidR="0020714F">
              <w:rPr>
                <w:noProof w:val="0"/>
              </w:rPr>
              <w:t>Bewtra</w:t>
            </w:r>
            <w:proofErr w:type="spellEnd"/>
            <w:r w:rsidR="0020714F">
              <w:rPr>
                <w:noProof w:val="0"/>
              </w:rPr>
              <w:t xml:space="preserve"> MAPC</w:t>
            </w:r>
          </w:p>
        </w:tc>
        <w:tc>
          <w:tcPr>
            <w:tcW w:w="987" w:type="dxa"/>
          </w:tcPr>
          <w:p w14:paraId="3C0B67E5" w14:textId="77777777" w:rsidR="006D75B3" w:rsidRPr="00BA620E" w:rsidRDefault="006D75B3" w:rsidP="002D153B">
            <w:pPr>
              <w:pStyle w:val="DNVGL-Details"/>
              <w:rPr>
                <w:b/>
                <w:bCs/>
                <w:noProof w:val="0"/>
              </w:rPr>
            </w:pPr>
          </w:p>
        </w:tc>
        <w:tc>
          <w:tcPr>
            <w:tcW w:w="3645" w:type="dxa"/>
            <w:shd w:val="clear" w:color="auto" w:fill="auto"/>
            <w:tcMar>
              <w:left w:w="0" w:type="dxa"/>
            </w:tcMar>
          </w:tcPr>
          <w:p w14:paraId="3C0B67E6" w14:textId="77777777" w:rsidR="006D75B3" w:rsidRPr="00BA620E" w:rsidRDefault="006D75B3" w:rsidP="002D153B">
            <w:pPr>
              <w:pStyle w:val="DNVGL-Details"/>
              <w:rPr>
                <w:noProof w:val="0"/>
              </w:rPr>
            </w:pPr>
          </w:p>
        </w:tc>
      </w:tr>
      <w:bookmarkStart w:id="1" w:name="DgLegalInformation01"/>
      <w:tr w:rsidR="006D75B3" w:rsidRPr="00BA620E" w14:paraId="3C0B67EA" w14:textId="77777777" w:rsidTr="006D75B3">
        <w:trPr>
          <w:trHeight w:val="214"/>
          <w:hidden/>
        </w:trPr>
        <w:tc>
          <w:tcPr>
            <w:tcW w:w="9360" w:type="dxa"/>
            <w:gridSpan w:val="3"/>
          </w:tcPr>
          <w:p w14:paraId="3C0B67E8" w14:textId="6184B9B0" w:rsidR="006D75B3" w:rsidRPr="00BA620E" w:rsidRDefault="00FC7B56" w:rsidP="002D153B">
            <w:pPr>
              <w:pStyle w:val="DNVGL-Hidden"/>
              <w:rPr>
                <w:noProof w:val="0"/>
              </w:rPr>
            </w:pPr>
            <w:sdt>
              <w:sdtPr>
                <w:rPr>
                  <w:noProof w:val="0"/>
                </w:rPr>
                <w:id w:val="1821152446"/>
                <w:lock w:val="contentLocked"/>
                <w:placeholder>
                  <w:docPart w:val="B698EEB05CCA4C6F8FC27337BA271398"/>
                </w:placeholder>
                <w:group/>
              </w:sdtPr>
              <w:sdtContent>
                <w:sdt>
                  <w:sdtPr>
                    <w:rPr>
                      <w:noProof w:val="0"/>
                    </w:rPr>
                    <w:id w:val="-2141265165"/>
                    <w:text w:multiLine="1"/>
                  </w:sdtPr>
                  <w:sdtContent>
                    <w:r w:rsidR="006D75B3">
                      <w:rPr>
                        <w:noProof w:val="0"/>
                      </w:rPr>
                      <w:t xml:space="preserve"> </w:t>
                    </w:r>
                  </w:sdtContent>
                </w:sdt>
                <w:bookmarkEnd w:id="1"/>
              </w:sdtContent>
            </w:sdt>
          </w:p>
          <w:p w14:paraId="3C0B67E9" w14:textId="77777777" w:rsidR="006D75B3" w:rsidRPr="00BA620E" w:rsidRDefault="006D75B3" w:rsidP="002D153B"/>
        </w:tc>
      </w:tr>
      <w:tr w:rsidR="00682F6F" w:rsidRPr="00BA620E" w14:paraId="3C0B67ED" w14:textId="77777777" w:rsidTr="006D75B3">
        <w:trPr>
          <w:trHeight w:val="214"/>
        </w:trPr>
        <w:tc>
          <w:tcPr>
            <w:tcW w:w="9360" w:type="dxa"/>
            <w:gridSpan w:val="3"/>
          </w:tcPr>
          <w:p w14:paraId="3C0B67EB" w14:textId="1AADAFAC" w:rsidR="00682F6F" w:rsidRDefault="00682F6F" w:rsidP="00DD7ACA">
            <w:pPr>
              <w:pStyle w:val="DNVGL-Details"/>
              <w:rPr>
                <w:noProof w:val="0"/>
              </w:rPr>
            </w:pPr>
            <w:r w:rsidRPr="00682F6F">
              <w:rPr>
                <w:b/>
                <w:bCs/>
                <w:noProof w:val="0"/>
              </w:rPr>
              <w:t>Re:</w:t>
            </w:r>
            <w:r>
              <w:rPr>
                <w:noProof w:val="0"/>
              </w:rPr>
              <w:t xml:space="preserve"> </w:t>
            </w:r>
            <w:r w:rsidR="00C803F8">
              <w:rPr>
                <w:noProof w:val="0"/>
              </w:rPr>
              <w:t>Technical Memorandum</w:t>
            </w:r>
            <w:r w:rsidR="00A52EBD">
              <w:rPr>
                <w:noProof w:val="0"/>
              </w:rPr>
              <w:t xml:space="preserve"> </w:t>
            </w:r>
            <w:r w:rsidR="00C803F8">
              <w:rPr>
                <w:noProof w:val="0"/>
              </w:rPr>
              <w:t xml:space="preserve">- </w:t>
            </w:r>
            <w:r w:rsidR="00842BF9">
              <w:rPr>
                <w:noProof w:val="0"/>
              </w:rPr>
              <w:t xml:space="preserve"> </w:t>
            </w:r>
            <w:r w:rsidR="00C803F8">
              <w:rPr>
                <w:noProof w:val="0"/>
              </w:rPr>
              <w:t xml:space="preserve">Community-wide GHG Inventory and Forecasting </w:t>
            </w:r>
            <w:r w:rsidR="00DD7ACA">
              <w:rPr>
                <w:noProof w:val="0"/>
              </w:rPr>
              <w:t>Methodologies</w:t>
            </w:r>
          </w:p>
          <w:p w14:paraId="3C0B67EC" w14:textId="77777777" w:rsidR="00682F6F" w:rsidRDefault="00682F6F" w:rsidP="002D153B">
            <w:pPr>
              <w:pStyle w:val="DNVGL-Hidden"/>
              <w:rPr>
                <w:noProof w:val="0"/>
              </w:rPr>
            </w:pPr>
          </w:p>
        </w:tc>
      </w:tr>
    </w:tbl>
    <w:p w14:paraId="49CEFE91" w14:textId="77777777" w:rsidR="00DC1D22" w:rsidRDefault="00DC1D22" w:rsidP="00DD7ACA">
      <w:pPr>
        <w:pStyle w:val="ParaText"/>
      </w:pPr>
      <w:bookmarkStart w:id="2" w:name="_Toc457892253"/>
      <w:bookmarkEnd w:id="0"/>
    </w:p>
    <w:p w14:paraId="3C0B67EF" w14:textId="1E9EB694" w:rsidR="007908DB" w:rsidRDefault="007908DB" w:rsidP="00DD7ACA">
      <w:pPr>
        <w:pStyle w:val="ParaText"/>
      </w:pPr>
      <w:r>
        <w:t xml:space="preserve">This Technical Memorandum </w:t>
      </w:r>
      <w:r w:rsidR="00DD7ACA">
        <w:t xml:space="preserve">summarizes </w:t>
      </w:r>
      <w:r>
        <w:t xml:space="preserve">the inventory and forecasting methodologies used for the </w:t>
      </w:r>
      <w:r w:rsidR="00A52EBD">
        <w:t xml:space="preserve">City of Cambridge </w:t>
      </w:r>
      <w:r>
        <w:t xml:space="preserve">Community-wide GHG </w:t>
      </w:r>
      <w:r w:rsidR="00A52EBD">
        <w:t>I</w:t>
      </w:r>
      <w:r>
        <w:t xml:space="preserve">nventory. </w:t>
      </w:r>
      <w:r w:rsidR="00387494">
        <w:t xml:space="preserve">The </w:t>
      </w:r>
      <w:r w:rsidR="00A52EBD">
        <w:t>i</w:t>
      </w:r>
      <w:r w:rsidR="00387494">
        <w:t xml:space="preserve">nventory and </w:t>
      </w:r>
      <w:r w:rsidR="00A52EBD">
        <w:t>f</w:t>
      </w:r>
      <w:r w:rsidR="00387494">
        <w:t xml:space="preserve">orecasting </w:t>
      </w:r>
      <w:r w:rsidR="00A52EBD">
        <w:t xml:space="preserve">methodologies are described in detail in this document. A summary of the methodologies is also provided in </w:t>
      </w:r>
      <w:r w:rsidR="00387494">
        <w:t xml:space="preserve">Section 3 of the final report </w:t>
      </w:r>
      <w:r w:rsidR="00A52EBD">
        <w:t>(</w:t>
      </w:r>
      <w:r w:rsidR="00387494">
        <w:t>provided as a separate document</w:t>
      </w:r>
      <w:r w:rsidR="00A52EBD">
        <w:t>)</w:t>
      </w:r>
      <w:r w:rsidR="00387494">
        <w:t xml:space="preserve">. </w:t>
      </w:r>
      <w:r>
        <w:t xml:space="preserve">Each section below is </w:t>
      </w:r>
      <w:r w:rsidR="00A52EBD">
        <w:t xml:space="preserve">structured similarly to the report </w:t>
      </w:r>
      <w:r>
        <w:t xml:space="preserve">so that </w:t>
      </w:r>
      <w:r w:rsidR="00387494">
        <w:t xml:space="preserve">the content </w:t>
      </w:r>
      <w:r>
        <w:t xml:space="preserve">can be incorporated directly into the final inventory and forecast report. </w:t>
      </w:r>
    </w:p>
    <w:p w14:paraId="3C0B67F1" w14:textId="77777777" w:rsidR="000C0978" w:rsidRDefault="000C0978" w:rsidP="000C0978">
      <w:pPr>
        <w:pStyle w:val="Heading1"/>
      </w:pPr>
      <w:r w:rsidRPr="00152C35">
        <w:t xml:space="preserve">Inventory </w:t>
      </w:r>
      <w:r>
        <w:t>and Forecasting Methodology</w:t>
      </w:r>
      <w:bookmarkEnd w:id="2"/>
    </w:p>
    <w:p w14:paraId="3C0B67F2" w14:textId="77777777" w:rsidR="000C0978" w:rsidRPr="005521F2" w:rsidRDefault="000C0978" w:rsidP="000C0978">
      <w:pPr>
        <w:pStyle w:val="Heading2"/>
        <w:tabs>
          <w:tab w:val="num" w:pos="1080"/>
        </w:tabs>
        <w:spacing w:before="240" w:after="120"/>
        <w:ind w:left="1080" w:hanging="1080"/>
      </w:pPr>
      <w:bookmarkStart w:id="3" w:name="_Toc222642474"/>
      <w:bookmarkStart w:id="4" w:name="_Toc292657287"/>
      <w:bookmarkStart w:id="5" w:name="_Toc346624519"/>
      <w:bookmarkStart w:id="6" w:name="_Toc369617618"/>
      <w:bookmarkStart w:id="7" w:name="_Toc369617921"/>
      <w:bookmarkStart w:id="8" w:name="_Toc457892254"/>
      <w:r w:rsidRPr="005521F2">
        <w:t>Understanding a Greenhouse Gas Emissions Inventory</w:t>
      </w:r>
      <w:bookmarkEnd w:id="3"/>
      <w:bookmarkEnd w:id="4"/>
      <w:bookmarkEnd w:id="5"/>
      <w:bookmarkEnd w:id="6"/>
      <w:bookmarkEnd w:id="7"/>
      <w:bookmarkEnd w:id="8"/>
    </w:p>
    <w:p w14:paraId="3C0B67F3" w14:textId="0D46FBA9" w:rsidR="00CC1768" w:rsidRDefault="000C0978" w:rsidP="00DD7ACA">
      <w:pPr>
        <w:pStyle w:val="ParaText"/>
      </w:pPr>
      <w:r>
        <w:t xml:space="preserve">Greenhouse gas emissions inventories are developed to help government leaders and corporate managers understand </w:t>
      </w:r>
      <w:r w:rsidR="00CC1768">
        <w:t xml:space="preserve">how </w:t>
      </w:r>
      <w:r>
        <w:t xml:space="preserve">greenhouse gas (GHG) emissions </w:t>
      </w:r>
      <w:r w:rsidR="00CC1768">
        <w:t xml:space="preserve">are </w:t>
      </w:r>
      <w:r>
        <w:t xml:space="preserve">associated with </w:t>
      </w:r>
      <w:r w:rsidR="008F66C3">
        <w:t xml:space="preserve">various </w:t>
      </w:r>
      <w:r>
        <w:t>activities in their community or business. For cities</w:t>
      </w:r>
      <w:r w:rsidR="008F66C3">
        <w:t>,</w:t>
      </w:r>
      <w:r>
        <w:t xml:space="preserve"> GHG emissions are </w:t>
      </w:r>
      <w:r w:rsidR="00387494">
        <w:t>generally</w:t>
      </w:r>
      <w:r>
        <w:t xml:space="preserve"> compiled </w:t>
      </w:r>
      <w:r w:rsidR="00CC1768">
        <w:t xml:space="preserve">at </w:t>
      </w:r>
      <w:r w:rsidR="00387494">
        <w:t xml:space="preserve">both </w:t>
      </w:r>
      <w:r w:rsidR="00CC1768">
        <w:t xml:space="preserve">the community scale and at the government operations scale. </w:t>
      </w:r>
      <w:r w:rsidR="004D7337">
        <w:t>E</w:t>
      </w:r>
      <w:r w:rsidR="00205795" w:rsidRPr="00E1721B">
        <w:t xml:space="preserve">missions </w:t>
      </w:r>
      <w:r w:rsidR="00205795">
        <w:t xml:space="preserve">associated with </w:t>
      </w:r>
      <w:r w:rsidR="00205795" w:rsidRPr="00E1721B">
        <w:t>government operations</w:t>
      </w:r>
      <w:r w:rsidR="00205795">
        <w:t xml:space="preserve"> including fuel use from fleet vehicles and energy use in city government buildings,</w:t>
      </w:r>
      <w:r w:rsidR="00205795" w:rsidRPr="00E1721B">
        <w:t xml:space="preserve"> </w:t>
      </w:r>
      <w:r w:rsidR="00205795">
        <w:t xml:space="preserve">are </w:t>
      </w:r>
      <w:r w:rsidR="004D7337">
        <w:t xml:space="preserve">included as part of </w:t>
      </w:r>
      <w:r w:rsidR="00205795" w:rsidRPr="00E1721B">
        <w:t>the community</w:t>
      </w:r>
      <w:r w:rsidR="004D7337">
        <w:t>-wide</w:t>
      </w:r>
      <w:r w:rsidR="00205795" w:rsidRPr="00E1721B">
        <w:t xml:space="preserve"> inventory.</w:t>
      </w:r>
    </w:p>
    <w:p w14:paraId="3C0B67F5" w14:textId="5F984878" w:rsidR="00CC1768" w:rsidRDefault="000C0978" w:rsidP="004A6486">
      <w:pPr>
        <w:pStyle w:val="ParaText"/>
      </w:pPr>
      <w:r w:rsidRPr="00E1721B">
        <w:t>Th</w:t>
      </w:r>
      <w:r w:rsidR="00FC7B56">
        <w:t>e</w:t>
      </w:r>
      <w:r w:rsidRPr="00E1721B">
        <w:t xml:space="preserve"> report presents </w:t>
      </w:r>
      <w:r>
        <w:t xml:space="preserve">the GHG </w:t>
      </w:r>
      <w:r w:rsidRPr="00E1721B">
        <w:t xml:space="preserve">emissions from the </w:t>
      </w:r>
      <w:r>
        <w:t xml:space="preserve">Cambridge </w:t>
      </w:r>
      <w:proofErr w:type="gramStart"/>
      <w:r w:rsidRPr="00E1721B">
        <w:t>community as a whole</w:t>
      </w:r>
      <w:proofErr w:type="gramEnd"/>
      <w:r w:rsidRPr="00E1721B">
        <w:t xml:space="preserve">. </w:t>
      </w:r>
      <w:r>
        <w:t xml:space="preserve">The community-wide inventory follows the Global Protocol for Community-Scale Greenhouse Gas Emission Inventories (GPC) which </w:t>
      </w:r>
      <w:r w:rsidR="00205795">
        <w:t xml:space="preserve">was developed by the World Resources Institute, C40 Cities, and ICLEI Local Governments for Sustainability and is </w:t>
      </w:r>
      <w:r>
        <w:t xml:space="preserve">required by The </w:t>
      </w:r>
      <w:r w:rsidR="00387494">
        <w:t>Global Covenant of Mayors for Climate and Energy</w:t>
      </w:r>
      <w:r w:rsidR="003B587B">
        <w:t xml:space="preserve"> (Global Covenant)</w:t>
      </w:r>
      <w:r w:rsidRPr="000A47ED">
        <w:rPr>
          <w:rStyle w:val="FootnoteReference"/>
          <w:rFonts w:ascii="Arial" w:hAnsi="Arial"/>
          <w:sz w:val="18"/>
          <w:szCs w:val="18"/>
        </w:rPr>
        <w:footnoteReference w:id="2"/>
      </w:r>
      <w:r w:rsidR="00CC1768">
        <w:t>,</w:t>
      </w:r>
      <w:r>
        <w:t xml:space="preserve"> of which Cambridge is a member.</w:t>
      </w:r>
    </w:p>
    <w:p w14:paraId="3C0B67F7" w14:textId="77777777" w:rsidR="000C0978" w:rsidRPr="00B50E23" w:rsidRDefault="000C0978" w:rsidP="000C0978">
      <w:pPr>
        <w:pStyle w:val="Heading2"/>
        <w:tabs>
          <w:tab w:val="num" w:pos="1080"/>
        </w:tabs>
        <w:spacing w:before="240" w:after="120"/>
        <w:ind w:left="1080" w:hanging="1080"/>
      </w:pPr>
      <w:bookmarkStart w:id="9" w:name="_Toc222642475"/>
      <w:bookmarkStart w:id="10" w:name="_Toc292657288"/>
      <w:bookmarkStart w:id="11" w:name="_Toc346624520"/>
      <w:bookmarkStart w:id="12" w:name="_Toc369617619"/>
      <w:bookmarkStart w:id="13" w:name="_Toc369617922"/>
      <w:bookmarkStart w:id="14" w:name="_Toc457892255"/>
      <w:r>
        <w:lastRenderedPageBreak/>
        <w:t>Global Protocol for Community-Scale Greenhouse Gas Emission Inventories</w:t>
      </w:r>
      <w:bookmarkEnd w:id="9"/>
      <w:bookmarkEnd w:id="10"/>
      <w:bookmarkEnd w:id="11"/>
      <w:bookmarkEnd w:id="12"/>
      <w:bookmarkEnd w:id="13"/>
      <w:bookmarkEnd w:id="14"/>
    </w:p>
    <w:p w14:paraId="3C0B67F8" w14:textId="41284301" w:rsidR="000C0978" w:rsidRDefault="000C0978">
      <w:pPr>
        <w:pStyle w:val="ParaText"/>
      </w:pPr>
      <w:r w:rsidRPr="00E1721B">
        <w:t xml:space="preserve">The </w:t>
      </w:r>
      <w:r>
        <w:t>GPC</w:t>
      </w:r>
      <w:r w:rsidRPr="00E1721B">
        <w:t xml:space="preserve"> </w:t>
      </w:r>
      <w:r>
        <w:t>was designed to provide</w:t>
      </w:r>
      <w:r w:rsidRPr="00E1721B">
        <w:t xml:space="preserve"> guidance to </w:t>
      </w:r>
      <w:r>
        <w:t>lo</w:t>
      </w:r>
      <w:r w:rsidRPr="00E1721B">
        <w:t>cal governments</w:t>
      </w:r>
      <w:r>
        <w:t xml:space="preserve"> </w:t>
      </w:r>
      <w:r w:rsidR="00A22DCE">
        <w:t>across the globe</w:t>
      </w:r>
      <w:r>
        <w:t xml:space="preserve"> on </w:t>
      </w:r>
      <w:r w:rsidRPr="00E1721B">
        <w:t>develop</w:t>
      </w:r>
      <w:r>
        <w:t>ing</w:t>
      </w:r>
      <w:r w:rsidRPr="00E1721B">
        <w:t xml:space="preserve"> effective community GHG emissions inventories. It establishes </w:t>
      </w:r>
      <w:r>
        <w:t xml:space="preserve">the </w:t>
      </w:r>
      <w:r w:rsidRPr="00E1721B">
        <w:t>reporting requirements for all community GHG emissions inventories</w:t>
      </w:r>
      <w:r w:rsidR="00A22DCE">
        <w:t xml:space="preserve"> and </w:t>
      </w:r>
      <w:r w:rsidRPr="00E1721B">
        <w:t>provides detailed accounting guidance for quantifying GHG emissions associated with a range of emission sources and activities</w:t>
      </w:r>
      <w:r>
        <w:t xml:space="preserve">.  The </w:t>
      </w:r>
      <w:r w:rsidR="00A22DCE">
        <w:t xml:space="preserve">GPC </w:t>
      </w:r>
      <w:r>
        <w:t xml:space="preserve">also </w:t>
      </w:r>
      <w:r w:rsidRPr="00E1721B">
        <w:t xml:space="preserve">provides </w:t>
      </w:r>
      <w:r w:rsidR="004D7337" w:rsidRPr="00E1721B">
        <w:t>several</w:t>
      </w:r>
      <w:r w:rsidRPr="00E1721B">
        <w:t xml:space="preserve"> optional reporting frameworks to help local governments customize their community GHG emissions inventory reports based on </w:t>
      </w:r>
      <w:r w:rsidR="004D7337" w:rsidRPr="00E1721B">
        <w:t>the</w:t>
      </w:r>
      <w:r w:rsidR="004D7337">
        <w:t xml:space="preserve"> data that is available, </w:t>
      </w:r>
      <w:r w:rsidRPr="00E1721B">
        <w:t>local goals and capacit</w:t>
      </w:r>
      <w:r w:rsidR="004D7337">
        <w:t>y</w:t>
      </w:r>
      <w:r w:rsidRPr="00E1721B">
        <w:t xml:space="preserve">. </w:t>
      </w:r>
    </w:p>
    <w:p w14:paraId="3C0B67F9" w14:textId="237140BE" w:rsidR="000C0978" w:rsidRDefault="000C0978">
      <w:pPr>
        <w:pStyle w:val="ParaText"/>
      </w:pPr>
      <w:r>
        <w:t>Using this protocol</w:t>
      </w:r>
      <w:r w:rsidRPr="00632E3F">
        <w:t xml:space="preserve"> will </w:t>
      </w:r>
      <w:r w:rsidR="00A22DCE">
        <w:t>a</w:t>
      </w:r>
      <w:r w:rsidRPr="00632E3F">
        <w:t xml:space="preserve">dvance the City’s efforts to reduce and manage climate change impacts and will </w:t>
      </w:r>
      <w:r w:rsidR="00A22DCE">
        <w:t xml:space="preserve">assist the City in </w:t>
      </w:r>
      <w:r w:rsidRPr="00632E3F">
        <w:t>fulfill</w:t>
      </w:r>
      <w:r w:rsidR="00A22DCE">
        <w:t>ing</w:t>
      </w:r>
      <w:r w:rsidRPr="00632E3F">
        <w:t xml:space="preserve"> the commitments </w:t>
      </w:r>
      <w:r w:rsidR="00A22DCE">
        <w:t xml:space="preserve">it </w:t>
      </w:r>
      <w:r w:rsidRPr="00632E3F">
        <w:t xml:space="preserve">has made </w:t>
      </w:r>
      <w:r>
        <w:t xml:space="preserve">to </w:t>
      </w:r>
      <w:r w:rsidR="003B587B">
        <w:t>t</w:t>
      </w:r>
      <w:r w:rsidRPr="00632E3F">
        <w:t xml:space="preserve">he </w:t>
      </w:r>
      <w:r w:rsidR="003B587B">
        <w:t>Global Covenant</w:t>
      </w:r>
      <w:r w:rsidRPr="00632E3F">
        <w:t xml:space="preserve">. The inventory provides the necessary foundation </w:t>
      </w:r>
      <w:r w:rsidR="00A22DCE">
        <w:t>to advance and enable</w:t>
      </w:r>
      <w:r w:rsidRPr="00632E3F">
        <w:t xml:space="preserve"> Cambridge’s work towards </w:t>
      </w:r>
      <w:r w:rsidR="004D7337">
        <w:t xml:space="preserve">reaching </w:t>
      </w:r>
      <w:r w:rsidR="00A22DCE">
        <w:t>GHG</w:t>
      </w:r>
      <w:r w:rsidRPr="00632E3F">
        <w:t xml:space="preserve"> reduction targets, </w:t>
      </w:r>
      <w:r w:rsidR="00A22DCE" w:rsidRPr="00632E3F">
        <w:t xml:space="preserve">developing </w:t>
      </w:r>
      <w:r w:rsidR="004D7337">
        <w:t xml:space="preserve">targeted strategies </w:t>
      </w:r>
      <w:r w:rsidR="00A22DCE" w:rsidRPr="00632E3F">
        <w:t>to reduce emissions</w:t>
      </w:r>
      <w:r w:rsidR="00A22DCE">
        <w:t xml:space="preserve">, </w:t>
      </w:r>
      <w:r w:rsidRPr="00632E3F">
        <w:t xml:space="preserve">engaging specific sectors </w:t>
      </w:r>
      <w:r w:rsidR="004D7337">
        <w:t>to promote emissions reductions</w:t>
      </w:r>
      <w:r w:rsidRPr="00632E3F">
        <w:t xml:space="preserve">, and tracking the community’s progress towards </w:t>
      </w:r>
      <w:r w:rsidR="004D7337">
        <w:t>meeting their goals</w:t>
      </w:r>
      <w:r w:rsidRPr="00632E3F">
        <w:t>.</w:t>
      </w:r>
    </w:p>
    <w:p w14:paraId="3C0B67FA" w14:textId="77777777" w:rsidR="000C0978" w:rsidRPr="002575AE" w:rsidRDefault="000C0978" w:rsidP="000C0978">
      <w:pPr>
        <w:pStyle w:val="Heading2"/>
        <w:keepNext w:val="0"/>
        <w:widowControl w:val="0"/>
        <w:tabs>
          <w:tab w:val="num" w:pos="1080"/>
        </w:tabs>
        <w:spacing w:before="240" w:after="120" w:line="360" w:lineRule="auto"/>
        <w:ind w:left="1080" w:hanging="1080"/>
      </w:pPr>
      <w:bookmarkStart w:id="15" w:name="_Toc379547568"/>
      <w:bookmarkStart w:id="16" w:name="_Toc379547569"/>
      <w:bookmarkStart w:id="17" w:name="_Toc379547570"/>
      <w:bookmarkStart w:id="18" w:name="_Toc379547571"/>
      <w:bookmarkStart w:id="19" w:name="_Toc379547572"/>
      <w:bookmarkStart w:id="20" w:name="_Toc457892256"/>
      <w:bookmarkStart w:id="21" w:name="_Toc222642477"/>
      <w:bookmarkStart w:id="22" w:name="_Toc292657290"/>
      <w:bookmarkStart w:id="23" w:name="_Toc346624522"/>
      <w:bookmarkStart w:id="24" w:name="_Toc369617620"/>
      <w:bookmarkStart w:id="25" w:name="_Toc369617923"/>
      <w:bookmarkEnd w:id="15"/>
      <w:bookmarkEnd w:id="16"/>
      <w:bookmarkEnd w:id="17"/>
      <w:bookmarkEnd w:id="18"/>
      <w:bookmarkEnd w:id="19"/>
      <w:r w:rsidRPr="002575AE">
        <w:t>Emission Sectors and Sources</w:t>
      </w:r>
      <w:bookmarkEnd w:id="20"/>
    </w:p>
    <w:p w14:paraId="3C0B67FB" w14:textId="4ACD6BE6" w:rsidR="000C0978" w:rsidRDefault="000C0978" w:rsidP="000C0978">
      <w:pPr>
        <w:pStyle w:val="ParaText"/>
      </w:pPr>
      <w:r>
        <w:t>The Cambridge community</w:t>
      </w:r>
      <w:r w:rsidR="003B587B">
        <w:t>-wide</w:t>
      </w:r>
      <w:r>
        <w:t xml:space="preserve"> inventory accounts for emissions from the following sources, as required by the GPC: </w:t>
      </w:r>
    </w:p>
    <w:p w14:paraId="3C0B67FC" w14:textId="77777777" w:rsidR="000C0978" w:rsidRDefault="000C0978" w:rsidP="00E24676">
      <w:pPr>
        <w:pStyle w:val="ListParagraph"/>
        <w:numPr>
          <w:ilvl w:val="0"/>
          <w:numId w:val="10"/>
        </w:numPr>
      </w:pPr>
      <w:r>
        <w:t>Stationary energy use from residents, businesses and other activities</w:t>
      </w:r>
      <w:r w:rsidRPr="00AF3B5F">
        <w:t xml:space="preserve"> </w:t>
      </w:r>
    </w:p>
    <w:p w14:paraId="3C0B67FD" w14:textId="45B13D35" w:rsidR="000C0978" w:rsidRDefault="000C0978" w:rsidP="00E24676">
      <w:pPr>
        <w:pStyle w:val="ListParagraph"/>
        <w:numPr>
          <w:ilvl w:val="0"/>
          <w:numId w:val="10"/>
        </w:numPr>
      </w:pPr>
      <w:r>
        <w:t>O</w:t>
      </w:r>
      <w:r w:rsidRPr="00AF3B5F">
        <w:t>n-road</w:t>
      </w:r>
      <w:r>
        <w:t xml:space="preserve"> and off-road</w:t>
      </w:r>
      <w:r w:rsidRPr="00AF3B5F">
        <w:t xml:space="preserve"> transportation </w:t>
      </w:r>
    </w:p>
    <w:p w14:paraId="709F10ED" w14:textId="1C11D87B" w:rsidR="00B76ACC" w:rsidRDefault="004D7337" w:rsidP="00E24676">
      <w:pPr>
        <w:pStyle w:val="ListParagraph"/>
        <w:numPr>
          <w:ilvl w:val="0"/>
          <w:numId w:val="10"/>
        </w:numPr>
      </w:pPr>
      <w:r>
        <w:t>Solid w</w:t>
      </w:r>
      <w:r w:rsidR="000C0978" w:rsidRPr="00AF3B5F">
        <w:t>aste</w:t>
      </w:r>
      <w:r>
        <w:t xml:space="preserve"> and </w:t>
      </w:r>
      <w:r w:rsidR="00C80E83">
        <w:t>wastewater</w:t>
      </w:r>
      <w:r w:rsidR="000C0978" w:rsidRPr="00AF3B5F">
        <w:t xml:space="preserve"> disposal</w:t>
      </w:r>
      <w:r w:rsidR="000C0978">
        <w:t xml:space="preserve"> and treatment</w:t>
      </w:r>
    </w:p>
    <w:p w14:paraId="3C0B67FE" w14:textId="73AAA83E" w:rsidR="000C0978" w:rsidRDefault="000C0978" w:rsidP="00B76ACC">
      <w:pPr>
        <w:pStyle w:val="ListParagraph"/>
        <w:ind w:left="1440"/>
      </w:pPr>
    </w:p>
    <w:p w14:paraId="3C0B67FF" w14:textId="1DC8F9CD" w:rsidR="000C0978" w:rsidRDefault="00EF11A7" w:rsidP="004A6486">
      <w:pPr>
        <w:pStyle w:val="ParaText"/>
      </w:pPr>
      <w:r>
        <w:t xml:space="preserve">As part of this process, </w:t>
      </w:r>
      <w:r w:rsidR="000C0978">
        <w:t xml:space="preserve">the </w:t>
      </w:r>
      <w:r w:rsidR="00CD380D">
        <w:t>C</w:t>
      </w:r>
      <w:r w:rsidR="000C0978">
        <w:t xml:space="preserve">ity </w:t>
      </w:r>
      <w:r w:rsidR="003B587B">
        <w:t>assessed the possibility of</w:t>
      </w:r>
      <w:r w:rsidR="000C0978">
        <w:t xml:space="preserve"> includ</w:t>
      </w:r>
      <w:r w:rsidR="003B587B">
        <w:t>ing</w:t>
      </w:r>
      <w:r w:rsidR="000C0978">
        <w:t xml:space="preserve"> emissions from </w:t>
      </w:r>
      <w:r w:rsidR="004A6486">
        <w:t xml:space="preserve">product use, </w:t>
      </w:r>
      <w:r w:rsidR="000C0978">
        <w:t>industrial processes</w:t>
      </w:r>
      <w:r w:rsidR="004A6486">
        <w:t>, and land-use</w:t>
      </w:r>
      <w:r>
        <w:t xml:space="preserve">; however, to the limited data for these activities, they were not included. </w:t>
      </w:r>
      <w:r w:rsidR="000C0978">
        <w:t>Agriculture, forestry are other sources of emissions that can also be accounted for using the GPC</w:t>
      </w:r>
      <w:r w:rsidR="004A6486">
        <w:t xml:space="preserve">, </w:t>
      </w:r>
      <w:r>
        <w:t>but these were also not included</w:t>
      </w:r>
      <w:r w:rsidR="00CD380D">
        <w:t xml:space="preserve"> </w:t>
      </w:r>
      <w:r w:rsidR="000C0978">
        <w:t xml:space="preserve">due to limited activity in </w:t>
      </w:r>
      <w:r w:rsidR="003B587B">
        <w:t xml:space="preserve">each of </w:t>
      </w:r>
      <w:r w:rsidR="000C0978">
        <w:t xml:space="preserve">these areas in the </w:t>
      </w:r>
      <w:r w:rsidR="00CD380D">
        <w:t>C</w:t>
      </w:r>
      <w:r w:rsidR="000C0978">
        <w:t>ity</w:t>
      </w:r>
      <w:r>
        <w:t xml:space="preserve">. </w:t>
      </w:r>
    </w:p>
    <w:p w14:paraId="3C0B6800" w14:textId="163010A1" w:rsidR="000C0978" w:rsidRPr="00C8101E" w:rsidRDefault="000C0978" w:rsidP="00443430">
      <w:pPr>
        <w:pStyle w:val="ParaText"/>
        <w:rPr>
          <w:bCs/>
        </w:rPr>
      </w:pPr>
      <w:r w:rsidRPr="00C8101E">
        <w:fldChar w:fldCharType="begin"/>
      </w:r>
      <w:r w:rsidRPr="00C8101E">
        <w:instrText xml:space="preserve"> REF _Ref387141388 \h  \* MERGEFORMAT </w:instrText>
      </w:r>
      <w:r w:rsidRPr="00C8101E">
        <w:fldChar w:fldCharType="separate"/>
      </w:r>
      <w:r w:rsidR="00631613" w:rsidRPr="00C8101E">
        <w:rPr>
          <w:rFonts w:cs="Arial"/>
          <w:noProof/>
        </w:rPr>
        <w:t>Table</w:t>
      </w:r>
      <w:r w:rsidR="00631613" w:rsidRPr="00C8101E">
        <w:rPr>
          <w:noProof/>
        </w:rPr>
        <w:t xml:space="preserve"> </w:t>
      </w:r>
      <w:r w:rsidR="00631613" w:rsidRPr="00C8101E">
        <w:rPr>
          <w:bCs/>
          <w:noProof/>
        </w:rPr>
        <w:t>1</w:t>
      </w:r>
      <w:r w:rsidRPr="00C8101E">
        <w:fldChar w:fldCharType="end"/>
      </w:r>
      <w:r>
        <w:t xml:space="preserve"> summarizes the sectors, emissions sources, and energy types included in the community-wide GHG inventory.</w:t>
      </w:r>
      <w:bookmarkStart w:id="26" w:name="_Ref387141388"/>
    </w:p>
    <w:p w14:paraId="362B32A7" w14:textId="77777777" w:rsidR="005F76C3" w:rsidRDefault="005F76C3">
      <w:pPr>
        <w:spacing w:after="200" w:line="276" w:lineRule="auto"/>
        <w:rPr>
          <w:rFonts w:ascii="Times New Roman" w:eastAsia="Times New Roman" w:hAnsi="Times New Roman" w:cs="Times New Roman"/>
          <w:b/>
          <w:bCs/>
          <w:sz w:val="22"/>
          <w:szCs w:val="22"/>
          <w:lang w:val="en-US" w:eastAsia="en-US"/>
        </w:rPr>
      </w:pPr>
      <w:bookmarkStart w:id="27" w:name="_Ref468886308"/>
      <w:r>
        <w:rPr>
          <w:b/>
          <w:bCs/>
        </w:rPr>
        <w:br w:type="page"/>
      </w:r>
    </w:p>
    <w:p w14:paraId="3C0B6801" w14:textId="0C165884" w:rsidR="000C0978" w:rsidRPr="000C0978" w:rsidRDefault="000C0978" w:rsidP="000C0978">
      <w:pPr>
        <w:pStyle w:val="ParaText"/>
        <w:rPr>
          <w:b/>
          <w:bCs/>
        </w:rPr>
      </w:pPr>
      <w:r w:rsidRPr="000C0978">
        <w:rPr>
          <w:b/>
          <w:bCs/>
        </w:rPr>
        <w:lastRenderedPageBreak/>
        <w:t xml:space="preserve">Table </w:t>
      </w:r>
      <w:r w:rsidRPr="000C0978">
        <w:rPr>
          <w:b/>
          <w:bCs/>
        </w:rPr>
        <w:fldChar w:fldCharType="begin"/>
      </w:r>
      <w:r w:rsidRPr="000C0978">
        <w:rPr>
          <w:b/>
          <w:bCs/>
        </w:rPr>
        <w:instrText xml:space="preserve"> SEQ Table \* ARABIC </w:instrText>
      </w:r>
      <w:r w:rsidRPr="000C0978">
        <w:rPr>
          <w:b/>
          <w:bCs/>
        </w:rPr>
        <w:fldChar w:fldCharType="separate"/>
      </w:r>
      <w:r w:rsidR="00AD4785">
        <w:rPr>
          <w:b/>
          <w:bCs/>
          <w:noProof/>
        </w:rPr>
        <w:t>1</w:t>
      </w:r>
      <w:r w:rsidRPr="000C0978">
        <w:rPr>
          <w:b/>
          <w:bCs/>
        </w:rPr>
        <w:fldChar w:fldCharType="end"/>
      </w:r>
      <w:bookmarkEnd w:id="26"/>
      <w:bookmarkEnd w:id="27"/>
      <w:r w:rsidRPr="000C0978">
        <w:rPr>
          <w:b/>
          <w:bCs/>
        </w:rPr>
        <w:t xml:space="preserve">:  Sectors and Emissions in the GHG Inventory </w:t>
      </w:r>
    </w:p>
    <w:tbl>
      <w:tblPr>
        <w:tblStyle w:val="AlternatingRows3"/>
        <w:tblW w:w="9771" w:type="dxa"/>
        <w:tblLook w:val="00A0" w:firstRow="1" w:lastRow="0" w:firstColumn="1" w:lastColumn="0" w:noHBand="0" w:noVBand="0"/>
      </w:tblPr>
      <w:tblGrid>
        <w:gridCol w:w="1826"/>
        <w:gridCol w:w="2340"/>
        <w:gridCol w:w="3420"/>
        <w:gridCol w:w="2185"/>
      </w:tblGrid>
      <w:tr w:rsidR="000C0978" w:rsidRPr="00F37DB5" w14:paraId="3C0B6806" w14:textId="77777777" w:rsidTr="005F76C3">
        <w:trPr>
          <w:cnfStyle w:val="100000000000" w:firstRow="1" w:lastRow="0" w:firstColumn="0" w:lastColumn="0" w:oddVBand="0" w:evenVBand="0" w:oddHBand="0" w:evenHBand="0" w:firstRowFirstColumn="0" w:firstRowLastColumn="0" w:lastRowFirstColumn="0" w:lastRowLastColumn="0"/>
          <w:trHeight w:val="638"/>
        </w:trPr>
        <w:tc>
          <w:tcPr>
            <w:tcW w:w="1826" w:type="dxa"/>
          </w:tcPr>
          <w:p w14:paraId="3C0B6802" w14:textId="77777777" w:rsidR="000C0978" w:rsidRPr="00FA7D9C" w:rsidRDefault="000C0978" w:rsidP="000C0978">
            <w:pPr>
              <w:pStyle w:val="ParaText"/>
              <w:spacing w:after="0" w:line="240" w:lineRule="auto"/>
              <w:rPr>
                <w:b w:val="0"/>
                <w:sz w:val="20"/>
                <w:szCs w:val="20"/>
              </w:rPr>
            </w:pPr>
            <w:r w:rsidRPr="00FA7D9C">
              <w:rPr>
                <w:sz w:val="20"/>
                <w:szCs w:val="20"/>
              </w:rPr>
              <w:t>Sector</w:t>
            </w:r>
          </w:p>
        </w:tc>
        <w:tc>
          <w:tcPr>
            <w:tcW w:w="2340" w:type="dxa"/>
          </w:tcPr>
          <w:p w14:paraId="3C0B6803" w14:textId="77777777" w:rsidR="000C0978" w:rsidRPr="00FA7D9C" w:rsidRDefault="000C0978" w:rsidP="000C0978">
            <w:pPr>
              <w:pStyle w:val="ParaText"/>
              <w:spacing w:after="0" w:line="240" w:lineRule="auto"/>
              <w:rPr>
                <w:b w:val="0"/>
                <w:sz w:val="20"/>
                <w:szCs w:val="20"/>
              </w:rPr>
            </w:pPr>
            <w:r w:rsidRPr="00FA7D9C">
              <w:rPr>
                <w:sz w:val="20"/>
                <w:szCs w:val="20"/>
              </w:rPr>
              <w:t>Sub-sector</w:t>
            </w:r>
          </w:p>
        </w:tc>
        <w:tc>
          <w:tcPr>
            <w:tcW w:w="3420" w:type="dxa"/>
          </w:tcPr>
          <w:p w14:paraId="3C0B6804" w14:textId="77777777" w:rsidR="000C0978" w:rsidRPr="00FA7D9C" w:rsidRDefault="000C0978" w:rsidP="000C0978">
            <w:pPr>
              <w:pStyle w:val="ParaText"/>
              <w:spacing w:after="0" w:line="240" w:lineRule="auto"/>
              <w:rPr>
                <w:b w:val="0"/>
                <w:sz w:val="20"/>
                <w:szCs w:val="20"/>
                <w:lang w:eastAsia="zh-CN"/>
              </w:rPr>
            </w:pPr>
            <w:r w:rsidRPr="00FA7D9C">
              <w:rPr>
                <w:sz w:val="20"/>
                <w:szCs w:val="20"/>
                <w:lang w:eastAsia="zh-CN"/>
              </w:rPr>
              <w:t>Emissions sources</w:t>
            </w:r>
          </w:p>
        </w:tc>
        <w:tc>
          <w:tcPr>
            <w:tcW w:w="2185" w:type="dxa"/>
          </w:tcPr>
          <w:p w14:paraId="3C0B6805" w14:textId="77777777" w:rsidR="000C0978" w:rsidRPr="00FA7D9C" w:rsidRDefault="000C0978" w:rsidP="000C0978">
            <w:pPr>
              <w:pStyle w:val="ParaText"/>
              <w:spacing w:after="0" w:line="240" w:lineRule="auto"/>
              <w:rPr>
                <w:b w:val="0"/>
                <w:sz w:val="20"/>
                <w:szCs w:val="20"/>
                <w:lang w:eastAsia="zh-CN"/>
              </w:rPr>
            </w:pPr>
            <w:r w:rsidRPr="00FA7D9C">
              <w:rPr>
                <w:sz w:val="20"/>
                <w:szCs w:val="20"/>
                <w:lang w:eastAsia="zh-CN"/>
              </w:rPr>
              <w:t>Energy types</w:t>
            </w:r>
          </w:p>
        </w:tc>
      </w:tr>
      <w:tr w:rsidR="000C0978" w:rsidRPr="00F37DB5" w14:paraId="3C0B680D" w14:textId="77777777" w:rsidTr="005F76C3">
        <w:trPr>
          <w:cnfStyle w:val="000000100000" w:firstRow="0" w:lastRow="0" w:firstColumn="0" w:lastColumn="0" w:oddVBand="0" w:evenVBand="0" w:oddHBand="1" w:evenHBand="0" w:firstRowFirstColumn="0" w:firstRowLastColumn="0" w:lastRowFirstColumn="0" w:lastRowLastColumn="0"/>
          <w:trHeight w:val="557"/>
        </w:trPr>
        <w:tc>
          <w:tcPr>
            <w:tcW w:w="1826" w:type="dxa"/>
            <w:vMerge w:val="restart"/>
          </w:tcPr>
          <w:p w14:paraId="3C0B6807" w14:textId="77777777" w:rsidR="000C0978" w:rsidRPr="00F37DB5" w:rsidRDefault="000C0978" w:rsidP="000C0978">
            <w:pPr>
              <w:pStyle w:val="ParaText"/>
              <w:spacing w:after="0" w:line="240" w:lineRule="auto"/>
              <w:rPr>
                <w:sz w:val="20"/>
                <w:szCs w:val="20"/>
              </w:rPr>
            </w:pPr>
            <w:r>
              <w:rPr>
                <w:sz w:val="20"/>
                <w:szCs w:val="20"/>
              </w:rPr>
              <w:t>Stationary Energy</w:t>
            </w:r>
          </w:p>
        </w:tc>
        <w:tc>
          <w:tcPr>
            <w:tcW w:w="2340" w:type="dxa"/>
          </w:tcPr>
          <w:p w14:paraId="3C0B6808" w14:textId="77777777" w:rsidR="000C0978" w:rsidRPr="00F37DB5" w:rsidRDefault="000C0978" w:rsidP="000C0978">
            <w:pPr>
              <w:pStyle w:val="ParaText"/>
              <w:spacing w:after="0" w:line="240" w:lineRule="auto"/>
              <w:rPr>
                <w:sz w:val="20"/>
                <w:szCs w:val="20"/>
              </w:rPr>
            </w:pPr>
            <w:r w:rsidRPr="00F37DB5">
              <w:rPr>
                <w:sz w:val="20"/>
                <w:szCs w:val="20"/>
              </w:rPr>
              <w:t>Residential</w:t>
            </w:r>
          </w:p>
        </w:tc>
        <w:tc>
          <w:tcPr>
            <w:tcW w:w="3420" w:type="dxa"/>
          </w:tcPr>
          <w:p w14:paraId="3C0B6809" w14:textId="4CFABE57" w:rsidR="000C0978" w:rsidRPr="00F37DB5" w:rsidRDefault="000C0978" w:rsidP="000C0978">
            <w:pPr>
              <w:pStyle w:val="ParaText"/>
              <w:spacing w:after="0" w:line="240" w:lineRule="auto"/>
              <w:rPr>
                <w:sz w:val="20"/>
                <w:szCs w:val="20"/>
              </w:rPr>
            </w:pPr>
            <w:r w:rsidRPr="00F37DB5">
              <w:rPr>
                <w:sz w:val="20"/>
                <w:szCs w:val="20"/>
                <w:lang w:eastAsia="zh-CN"/>
              </w:rPr>
              <w:t>Energy use in residential buildings</w:t>
            </w:r>
            <w:r w:rsidR="005C6728">
              <w:rPr>
                <w:sz w:val="20"/>
                <w:szCs w:val="20"/>
                <w:lang w:eastAsia="zh-CN"/>
              </w:rPr>
              <w:t xml:space="preserve"> as well as losses from distribution systems</w:t>
            </w:r>
          </w:p>
        </w:tc>
        <w:tc>
          <w:tcPr>
            <w:tcW w:w="2185" w:type="dxa"/>
            <w:vMerge w:val="restart"/>
          </w:tcPr>
          <w:p w14:paraId="3C0B680A" w14:textId="4A64DEE1" w:rsidR="000C0978" w:rsidRPr="00F37DB5" w:rsidRDefault="000C0978" w:rsidP="000C0978">
            <w:pPr>
              <w:pStyle w:val="ParaText"/>
              <w:spacing w:after="0" w:line="240" w:lineRule="auto"/>
              <w:rPr>
                <w:sz w:val="20"/>
                <w:szCs w:val="20"/>
                <w:lang w:eastAsia="zh-CN"/>
              </w:rPr>
            </w:pPr>
            <w:r w:rsidRPr="00F37DB5">
              <w:rPr>
                <w:sz w:val="20"/>
                <w:szCs w:val="20"/>
                <w:lang w:eastAsia="zh-CN"/>
              </w:rPr>
              <w:t>Electr</w:t>
            </w:r>
            <w:r w:rsidR="00B76ACC">
              <w:rPr>
                <w:sz w:val="20"/>
                <w:szCs w:val="20"/>
                <w:lang w:eastAsia="zh-CN"/>
              </w:rPr>
              <w:t>i</w:t>
            </w:r>
            <w:r w:rsidRPr="00F37DB5">
              <w:rPr>
                <w:sz w:val="20"/>
                <w:szCs w:val="20"/>
                <w:lang w:eastAsia="zh-CN"/>
              </w:rPr>
              <w:t>city</w:t>
            </w:r>
          </w:p>
          <w:p w14:paraId="3C0B680B" w14:textId="77777777" w:rsidR="000C0978" w:rsidRDefault="000C0978" w:rsidP="000C0978">
            <w:pPr>
              <w:pStyle w:val="ParaText"/>
              <w:spacing w:after="0" w:line="240" w:lineRule="auto"/>
              <w:rPr>
                <w:sz w:val="20"/>
                <w:szCs w:val="20"/>
                <w:lang w:eastAsia="zh-CN"/>
              </w:rPr>
            </w:pPr>
            <w:r w:rsidRPr="00F37DB5">
              <w:rPr>
                <w:sz w:val="20"/>
                <w:szCs w:val="20"/>
                <w:lang w:eastAsia="zh-CN"/>
              </w:rPr>
              <w:t>Natural gas</w:t>
            </w:r>
          </w:p>
          <w:p w14:paraId="3C0B680C" w14:textId="1AC73E53" w:rsidR="000C0978" w:rsidRPr="00F37DB5" w:rsidRDefault="001837A9" w:rsidP="008D1C20">
            <w:pPr>
              <w:pStyle w:val="ParaText"/>
              <w:spacing w:after="0" w:line="240" w:lineRule="auto"/>
              <w:rPr>
                <w:sz w:val="20"/>
                <w:szCs w:val="20"/>
                <w:lang w:eastAsia="zh-CN"/>
              </w:rPr>
            </w:pPr>
            <w:r>
              <w:rPr>
                <w:sz w:val="20"/>
                <w:szCs w:val="20"/>
                <w:lang w:eastAsia="zh-CN"/>
              </w:rPr>
              <w:t>Petroleum Products</w:t>
            </w:r>
          </w:p>
        </w:tc>
      </w:tr>
      <w:tr w:rsidR="000C0978" w:rsidRPr="00F37DB5" w14:paraId="3C0B6812" w14:textId="77777777" w:rsidTr="005F76C3">
        <w:trPr>
          <w:cnfStyle w:val="000000010000" w:firstRow="0" w:lastRow="0" w:firstColumn="0" w:lastColumn="0" w:oddVBand="0" w:evenVBand="0" w:oddHBand="0" w:evenHBand="1" w:firstRowFirstColumn="0" w:firstRowLastColumn="0" w:lastRowFirstColumn="0" w:lastRowLastColumn="0"/>
          <w:trHeight w:val="530"/>
        </w:trPr>
        <w:tc>
          <w:tcPr>
            <w:tcW w:w="1826" w:type="dxa"/>
            <w:vMerge/>
          </w:tcPr>
          <w:p w14:paraId="3C0B680E" w14:textId="615C88AB" w:rsidR="000C0978" w:rsidRPr="00F37DB5" w:rsidRDefault="000C0978" w:rsidP="000C0978">
            <w:pPr>
              <w:pStyle w:val="ParaText"/>
              <w:spacing w:after="0" w:line="240" w:lineRule="auto"/>
              <w:rPr>
                <w:sz w:val="20"/>
                <w:szCs w:val="20"/>
              </w:rPr>
            </w:pPr>
          </w:p>
        </w:tc>
        <w:tc>
          <w:tcPr>
            <w:tcW w:w="2340" w:type="dxa"/>
          </w:tcPr>
          <w:p w14:paraId="3C0B680F" w14:textId="77777777" w:rsidR="000C0978" w:rsidRPr="00F37DB5" w:rsidRDefault="000C0978" w:rsidP="000C0978">
            <w:pPr>
              <w:pStyle w:val="ParaText"/>
              <w:spacing w:after="0" w:line="240" w:lineRule="auto"/>
              <w:rPr>
                <w:sz w:val="20"/>
                <w:szCs w:val="20"/>
              </w:rPr>
            </w:pPr>
            <w:r w:rsidRPr="00F37DB5">
              <w:rPr>
                <w:sz w:val="20"/>
                <w:szCs w:val="20"/>
              </w:rPr>
              <w:t>Commercial</w:t>
            </w:r>
          </w:p>
        </w:tc>
        <w:tc>
          <w:tcPr>
            <w:tcW w:w="3420" w:type="dxa"/>
          </w:tcPr>
          <w:p w14:paraId="3C0B6810" w14:textId="68AEAECC" w:rsidR="000C0978" w:rsidRPr="00F37DB5" w:rsidRDefault="000C0978" w:rsidP="000C0978">
            <w:pPr>
              <w:pStyle w:val="ParaText"/>
              <w:spacing w:after="0" w:line="240" w:lineRule="auto"/>
              <w:rPr>
                <w:sz w:val="20"/>
                <w:szCs w:val="20"/>
              </w:rPr>
            </w:pPr>
            <w:r w:rsidRPr="00F37DB5">
              <w:rPr>
                <w:sz w:val="20"/>
                <w:szCs w:val="20"/>
                <w:lang w:eastAsia="zh-CN"/>
              </w:rPr>
              <w:t xml:space="preserve">Energy </w:t>
            </w:r>
            <w:r w:rsidR="005C6728">
              <w:rPr>
                <w:sz w:val="20"/>
                <w:szCs w:val="20"/>
                <w:lang w:eastAsia="zh-CN"/>
              </w:rPr>
              <w:t>u</w:t>
            </w:r>
            <w:r w:rsidRPr="00F37DB5">
              <w:rPr>
                <w:sz w:val="20"/>
                <w:szCs w:val="20"/>
                <w:lang w:eastAsia="zh-CN"/>
              </w:rPr>
              <w:t>se in commercial, government and institutional buildings</w:t>
            </w:r>
            <w:r w:rsidR="005C6728">
              <w:rPr>
                <w:sz w:val="20"/>
                <w:szCs w:val="20"/>
                <w:lang w:eastAsia="zh-CN"/>
              </w:rPr>
              <w:t xml:space="preserve"> as well as losses from distribution systems</w:t>
            </w:r>
          </w:p>
        </w:tc>
        <w:tc>
          <w:tcPr>
            <w:tcW w:w="2185" w:type="dxa"/>
            <w:vMerge/>
          </w:tcPr>
          <w:p w14:paraId="3C0B6811" w14:textId="77777777" w:rsidR="000C0978" w:rsidRPr="00F37DB5" w:rsidRDefault="000C0978" w:rsidP="000C0978">
            <w:pPr>
              <w:pStyle w:val="ParaText"/>
              <w:spacing w:after="0" w:line="240" w:lineRule="auto"/>
              <w:rPr>
                <w:sz w:val="20"/>
                <w:szCs w:val="20"/>
                <w:lang w:eastAsia="zh-CN"/>
              </w:rPr>
            </w:pPr>
          </w:p>
        </w:tc>
      </w:tr>
      <w:tr w:rsidR="000C0978" w:rsidRPr="00F37DB5" w14:paraId="3C0B6817" w14:textId="77777777" w:rsidTr="005F76C3">
        <w:trPr>
          <w:cnfStyle w:val="000000100000" w:firstRow="0" w:lastRow="0" w:firstColumn="0" w:lastColumn="0" w:oddVBand="0" w:evenVBand="0" w:oddHBand="1" w:evenHBand="0" w:firstRowFirstColumn="0" w:firstRowLastColumn="0" w:lastRowFirstColumn="0" w:lastRowLastColumn="0"/>
        </w:trPr>
        <w:tc>
          <w:tcPr>
            <w:tcW w:w="1826" w:type="dxa"/>
            <w:vMerge/>
          </w:tcPr>
          <w:p w14:paraId="3C0B6813" w14:textId="77777777" w:rsidR="000C0978" w:rsidRPr="00F37DB5" w:rsidRDefault="000C0978" w:rsidP="000C0978">
            <w:pPr>
              <w:pStyle w:val="ParaText"/>
              <w:spacing w:after="0" w:line="240" w:lineRule="auto"/>
              <w:rPr>
                <w:sz w:val="20"/>
                <w:szCs w:val="20"/>
              </w:rPr>
            </w:pPr>
          </w:p>
        </w:tc>
        <w:tc>
          <w:tcPr>
            <w:tcW w:w="2340" w:type="dxa"/>
          </w:tcPr>
          <w:p w14:paraId="3C0B6814" w14:textId="1074AE3D" w:rsidR="000C0978" w:rsidRPr="00F37DB5" w:rsidRDefault="00EF11A7" w:rsidP="000C0978">
            <w:pPr>
              <w:pStyle w:val="ParaText"/>
              <w:spacing w:after="0" w:line="240" w:lineRule="auto"/>
              <w:rPr>
                <w:sz w:val="20"/>
                <w:szCs w:val="20"/>
              </w:rPr>
            </w:pPr>
            <w:r>
              <w:rPr>
                <w:sz w:val="20"/>
                <w:szCs w:val="20"/>
              </w:rPr>
              <w:t>Manufacturing and Construction</w:t>
            </w:r>
          </w:p>
        </w:tc>
        <w:tc>
          <w:tcPr>
            <w:tcW w:w="3420" w:type="dxa"/>
          </w:tcPr>
          <w:p w14:paraId="3C0B6815" w14:textId="674D23BD" w:rsidR="000C0978" w:rsidRPr="00F37DB5" w:rsidRDefault="000C0978" w:rsidP="000C0978">
            <w:pPr>
              <w:pStyle w:val="ParaText"/>
              <w:spacing w:after="0" w:line="240" w:lineRule="auto"/>
              <w:rPr>
                <w:sz w:val="20"/>
                <w:szCs w:val="20"/>
              </w:rPr>
            </w:pPr>
            <w:r w:rsidRPr="00F37DB5">
              <w:rPr>
                <w:sz w:val="20"/>
                <w:szCs w:val="20"/>
                <w:lang w:eastAsia="zh-CN"/>
              </w:rPr>
              <w:t>Energy use in industrial facilities, and processes</w:t>
            </w:r>
            <w:r w:rsidR="005C6728">
              <w:rPr>
                <w:sz w:val="20"/>
                <w:szCs w:val="20"/>
                <w:lang w:eastAsia="zh-CN"/>
              </w:rPr>
              <w:t xml:space="preserve"> as well as losses from distribution systems</w:t>
            </w:r>
            <w:r w:rsidR="00673743">
              <w:rPr>
                <w:sz w:val="20"/>
                <w:szCs w:val="20"/>
                <w:lang w:eastAsia="zh-CN"/>
              </w:rPr>
              <w:t xml:space="preserve"> and construction equipment</w:t>
            </w:r>
          </w:p>
        </w:tc>
        <w:tc>
          <w:tcPr>
            <w:tcW w:w="2185" w:type="dxa"/>
            <w:vMerge/>
          </w:tcPr>
          <w:p w14:paraId="3C0B6816" w14:textId="77777777" w:rsidR="000C0978" w:rsidRPr="00F37DB5" w:rsidRDefault="000C0978" w:rsidP="000C0978">
            <w:pPr>
              <w:pStyle w:val="ParaText"/>
              <w:spacing w:after="0" w:line="240" w:lineRule="auto"/>
              <w:rPr>
                <w:sz w:val="20"/>
                <w:szCs w:val="20"/>
                <w:lang w:eastAsia="zh-CN"/>
              </w:rPr>
            </w:pPr>
          </w:p>
        </w:tc>
      </w:tr>
      <w:tr w:rsidR="000C0978" w:rsidRPr="00F37DB5" w14:paraId="3C0B681C" w14:textId="77777777" w:rsidTr="005F76C3">
        <w:trPr>
          <w:cnfStyle w:val="000000010000" w:firstRow="0" w:lastRow="0" w:firstColumn="0" w:lastColumn="0" w:oddVBand="0" w:evenVBand="0" w:oddHBand="0" w:evenHBand="1" w:firstRowFirstColumn="0" w:firstRowLastColumn="0" w:lastRowFirstColumn="0" w:lastRowLastColumn="0"/>
        </w:trPr>
        <w:tc>
          <w:tcPr>
            <w:tcW w:w="1826" w:type="dxa"/>
            <w:vMerge/>
          </w:tcPr>
          <w:p w14:paraId="3C0B6818" w14:textId="77777777" w:rsidR="000C0978" w:rsidRDefault="000C0978" w:rsidP="000C0978">
            <w:pPr>
              <w:pStyle w:val="ParaText"/>
              <w:spacing w:after="0" w:line="240" w:lineRule="auto"/>
              <w:rPr>
                <w:sz w:val="20"/>
                <w:szCs w:val="20"/>
              </w:rPr>
            </w:pPr>
          </w:p>
        </w:tc>
        <w:tc>
          <w:tcPr>
            <w:tcW w:w="2340" w:type="dxa"/>
          </w:tcPr>
          <w:p w14:paraId="3C0B6819" w14:textId="1560F1BD" w:rsidR="000C0978" w:rsidRPr="00F37DB5" w:rsidRDefault="00EF11A7" w:rsidP="000C0978">
            <w:pPr>
              <w:pStyle w:val="ParaText"/>
              <w:spacing w:after="0" w:line="240" w:lineRule="auto"/>
              <w:rPr>
                <w:sz w:val="20"/>
                <w:szCs w:val="20"/>
              </w:rPr>
            </w:pPr>
            <w:r>
              <w:rPr>
                <w:sz w:val="20"/>
                <w:szCs w:val="20"/>
              </w:rPr>
              <w:t>Energy Industries</w:t>
            </w:r>
          </w:p>
        </w:tc>
        <w:tc>
          <w:tcPr>
            <w:tcW w:w="3420" w:type="dxa"/>
          </w:tcPr>
          <w:p w14:paraId="3C0B681A" w14:textId="67F133A0" w:rsidR="000C0978" w:rsidRPr="00F37DB5" w:rsidRDefault="000C0978" w:rsidP="000C0978">
            <w:pPr>
              <w:pStyle w:val="ParaText"/>
              <w:spacing w:after="0" w:line="240" w:lineRule="auto"/>
              <w:rPr>
                <w:sz w:val="20"/>
                <w:szCs w:val="20"/>
                <w:lang w:eastAsia="zh-CN"/>
              </w:rPr>
            </w:pPr>
            <w:r>
              <w:rPr>
                <w:sz w:val="20"/>
                <w:szCs w:val="20"/>
                <w:lang w:eastAsia="zh-CN"/>
              </w:rPr>
              <w:t>Stationary combustion of fuel in various equipment, such as boilers</w:t>
            </w:r>
            <w:r w:rsidR="00673743">
              <w:rPr>
                <w:sz w:val="20"/>
                <w:szCs w:val="20"/>
                <w:lang w:eastAsia="zh-CN"/>
              </w:rPr>
              <w:t xml:space="preserve"> and</w:t>
            </w:r>
            <w:r>
              <w:rPr>
                <w:sz w:val="20"/>
                <w:szCs w:val="20"/>
                <w:lang w:eastAsia="zh-CN"/>
              </w:rPr>
              <w:t xml:space="preserve"> generators</w:t>
            </w:r>
            <w:r w:rsidR="00673743">
              <w:rPr>
                <w:sz w:val="20"/>
                <w:szCs w:val="20"/>
                <w:lang w:eastAsia="zh-CN"/>
              </w:rPr>
              <w:t>.</w:t>
            </w:r>
          </w:p>
        </w:tc>
        <w:tc>
          <w:tcPr>
            <w:tcW w:w="2185" w:type="dxa"/>
          </w:tcPr>
          <w:p w14:paraId="3C0B681B" w14:textId="77777777" w:rsidR="000C0978" w:rsidRPr="00F37DB5" w:rsidRDefault="000C0978" w:rsidP="000C0978">
            <w:pPr>
              <w:pStyle w:val="ParaText"/>
              <w:spacing w:after="0" w:line="240" w:lineRule="auto"/>
              <w:rPr>
                <w:sz w:val="20"/>
                <w:szCs w:val="20"/>
                <w:lang w:eastAsia="zh-CN"/>
              </w:rPr>
            </w:pPr>
            <w:r>
              <w:rPr>
                <w:sz w:val="20"/>
                <w:szCs w:val="20"/>
                <w:lang w:eastAsia="zh-CN"/>
              </w:rPr>
              <w:t>Various – may include natural gas, propane, and diesel</w:t>
            </w:r>
          </w:p>
        </w:tc>
      </w:tr>
      <w:tr w:rsidR="000C0978" w:rsidRPr="00F37DB5" w14:paraId="3C0B6827" w14:textId="77777777" w:rsidTr="005F76C3">
        <w:trPr>
          <w:cnfStyle w:val="000000100000" w:firstRow="0" w:lastRow="0" w:firstColumn="0" w:lastColumn="0" w:oddVBand="0" w:evenVBand="0" w:oddHBand="1" w:evenHBand="0" w:firstRowFirstColumn="0" w:firstRowLastColumn="0" w:lastRowFirstColumn="0" w:lastRowLastColumn="0"/>
        </w:trPr>
        <w:tc>
          <w:tcPr>
            <w:tcW w:w="1826" w:type="dxa"/>
          </w:tcPr>
          <w:p w14:paraId="3C0B681D" w14:textId="77777777" w:rsidR="000C0978" w:rsidRPr="00F37DB5" w:rsidRDefault="000C0978" w:rsidP="000C0978">
            <w:pPr>
              <w:pStyle w:val="ParaText"/>
              <w:spacing w:after="0" w:line="240" w:lineRule="auto"/>
              <w:rPr>
                <w:sz w:val="20"/>
                <w:szCs w:val="20"/>
              </w:rPr>
            </w:pPr>
            <w:r>
              <w:rPr>
                <w:sz w:val="20"/>
                <w:szCs w:val="20"/>
              </w:rPr>
              <w:t>Transportation</w:t>
            </w:r>
          </w:p>
        </w:tc>
        <w:tc>
          <w:tcPr>
            <w:tcW w:w="2340" w:type="dxa"/>
          </w:tcPr>
          <w:p w14:paraId="3C0B681E" w14:textId="77777777" w:rsidR="000C0978" w:rsidRPr="00F37DB5" w:rsidRDefault="000C0978" w:rsidP="000C0978">
            <w:pPr>
              <w:pStyle w:val="ParaText"/>
              <w:spacing w:after="0" w:line="240" w:lineRule="auto"/>
              <w:rPr>
                <w:sz w:val="20"/>
                <w:szCs w:val="20"/>
              </w:rPr>
            </w:pPr>
            <w:r w:rsidRPr="00F37DB5">
              <w:rPr>
                <w:sz w:val="20"/>
                <w:szCs w:val="20"/>
              </w:rPr>
              <w:t>Transportation</w:t>
            </w:r>
          </w:p>
        </w:tc>
        <w:tc>
          <w:tcPr>
            <w:tcW w:w="3420" w:type="dxa"/>
          </w:tcPr>
          <w:p w14:paraId="3C0B681F" w14:textId="4056E588" w:rsidR="000C0978" w:rsidRPr="00F37DB5" w:rsidRDefault="000C0978" w:rsidP="000C0978">
            <w:pPr>
              <w:pStyle w:val="ParaText"/>
              <w:spacing w:after="0" w:line="240" w:lineRule="auto"/>
              <w:rPr>
                <w:sz w:val="20"/>
                <w:szCs w:val="20"/>
                <w:lang w:eastAsia="zh-CN"/>
              </w:rPr>
            </w:pPr>
            <w:r w:rsidRPr="00F37DB5">
              <w:rPr>
                <w:sz w:val="20"/>
                <w:szCs w:val="20"/>
                <w:lang w:eastAsia="zh-CN"/>
              </w:rPr>
              <w:t xml:space="preserve">All </w:t>
            </w:r>
            <w:r w:rsidR="00EF11A7">
              <w:rPr>
                <w:sz w:val="20"/>
                <w:szCs w:val="20"/>
                <w:lang w:eastAsia="zh-CN"/>
              </w:rPr>
              <w:t>on-</w:t>
            </w:r>
            <w:r w:rsidRPr="00F37DB5">
              <w:rPr>
                <w:sz w:val="20"/>
                <w:szCs w:val="20"/>
                <w:lang w:eastAsia="zh-CN"/>
              </w:rPr>
              <w:t>road vehicles</w:t>
            </w:r>
          </w:p>
          <w:p w14:paraId="3C0B6820" w14:textId="77777777" w:rsidR="000C0978" w:rsidRDefault="000C0978" w:rsidP="000C0978">
            <w:pPr>
              <w:pStyle w:val="ParaText"/>
              <w:spacing w:after="0" w:line="240" w:lineRule="auto"/>
              <w:rPr>
                <w:sz w:val="20"/>
                <w:szCs w:val="20"/>
                <w:lang w:eastAsia="zh-CN"/>
              </w:rPr>
            </w:pPr>
            <w:r>
              <w:rPr>
                <w:sz w:val="20"/>
                <w:szCs w:val="20"/>
                <w:lang w:eastAsia="zh-CN"/>
              </w:rPr>
              <w:t>Railways</w:t>
            </w:r>
          </w:p>
          <w:p w14:paraId="3C0B6823" w14:textId="43D12780" w:rsidR="000C0978" w:rsidRPr="00F37DB5" w:rsidRDefault="000C0978" w:rsidP="00EF11A7">
            <w:pPr>
              <w:pStyle w:val="ParaText"/>
              <w:spacing w:after="0" w:line="240" w:lineRule="auto"/>
              <w:rPr>
                <w:sz w:val="20"/>
                <w:szCs w:val="20"/>
                <w:lang w:eastAsia="zh-CN"/>
              </w:rPr>
            </w:pPr>
            <w:r w:rsidRPr="00F37DB5">
              <w:rPr>
                <w:sz w:val="20"/>
                <w:szCs w:val="20"/>
                <w:lang w:eastAsia="zh-CN"/>
              </w:rPr>
              <w:t>Off-road vehicles/equipment</w:t>
            </w:r>
          </w:p>
        </w:tc>
        <w:tc>
          <w:tcPr>
            <w:tcW w:w="2185" w:type="dxa"/>
          </w:tcPr>
          <w:p w14:paraId="3C0B6824" w14:textId="77777777" w:rsidR="000C0978" w:rsidRPr="00F37DB5" w:rsidRDefault="000C0978" w:rsidP="000C0978">
            <w:pPr>
              <w:pStyle w:val="ParaText"/>
              <w:spacing w:after="0" w:line="240" w:lineRule="auto"/>
              <w:rPr>
                <w:sz w:val="20"/>
                <w:szCs w:val="20"/>
                <w:lang w:eastAsia="zh-CN"/>
              </w:rPr>
            </w:pPr>
            <w:r w:rsidRPr="00F37DB5">
              <w:rPr>
                <w:sz w:val="20"/>
                <w:szCs w:val="20"/>
                <w:lang w:eastAsia="zh-CN"/>
              </w:rPr>
              <w:t>Gasoline</w:t>
            </w:r>
          </w:p>
          <w:p w14:paraId="3C0B6825" w14:textId="0A4A0EBD" w:rsidR="000C0978" w:rsidRDefault="000C0978" w:rsidP="000C0978">
            <w:pPr>
              <w:pStyle w:val="ParaText"/>
              <w:spacing w:after="0" w:line="240" w:lineRule="auto"/>
              <w:rPr>
                <w:sz w:val="20"/>
                <w:szCs w:val="20"/>
                <w:lang w:eastAsia="zh-CN"/>
              </w:rPr>
            </w:pPr>
            <w:r w:rsidRPr="00F37DB5">
              <w:rPr>
                <w:sz w:val="20"/>
                <w:szCs w:val="20"/>
                <w:lang w:eastAsia="zh-CN"/>
              </w:rPr>
              <w:t>Diesel</w:t>
            </w:r>
          </w:p>
          <w:p w14:paraId="562421FB" w14:textId="2E515ECD" w:rsidR="00673743" w:rsidRPr="00F37DB5" w:rsidRDefault="00673743" w:rsidP="000C0978">
            <w:pPr>
              <w:pStyle w:val="ParaText"/>
              <w:spacing w:after="0" w:line="240" w:lineRule="auto"/>
              <w:rPr>
                <w:sz w:val="20"/>
                <w:szCs w:val="20"/>
                <w:lang w:eastAsia="zh-CN"/>
              </w:rPr>
            </w:pPr>
            <w:r>
              <w:rPr>
                <w:sz w:val="20"/>
                <w:szCs w:val="20"/>
                <w:lang w:eastAsia="zh-CN"/>
              </w:rPr>
              <w:t>Electricity</w:t>
            </w:r>
          </w:p>
          <w:p w14:paraId="3C0B6826" w14:textId="77777777" w:rsidR="000C0978" w:rsidRPr="00F37DB5" w:rsidRDefault="000C0978" w:rsidP="000C0978">
            <w:pPr>
              <w:pStyle w:val="ParaText"/>
              <w:spacing w:after="0" w:line="240" w:lineRule="auto"/>
              <w:rPr>
                <w:sz w:val="20"/>
                <w:szCs w:val="20"/>
                <w:lang w:val="de-DE" w:eastAsia="zh-CN"/>
              </w:rPr>
            </w:pPr>
          </w:p>
        </w:tc>
      </w:tr>
      <w:tr w:rsidR="000C0978" w:rsidRPr="00F37DB5" w14:paraId="3C0B682F" w14:textId="77777777" w:rsidTr="005F76C3">
        <w:trPr>
          <w:cnfStyle w:val="000000010000" w:firstRow="0" w:lastRow="0" w:firstColumn="0" w:lastColumn="0" w:oddVBand="0" w:evenVBand="0" w:oddHBand="0" w:evenHBand="1" w:firstRowFirstColumn="0" w:firstRowLastColumn="0" w:lastRowFirstColumn="0" w:lastRowLastColumn="0"/>
        </w:trPr>
        <w:tc>
          <w:tcPr>
            <w:tcW w:w="1826" w:type="dxa"/>
            <w:vMerge w:val="restart"/>
          </w:tcPr>
          <w:p w14:paraId="3C0B6828" w14:textId="77777777" w:rsidR="000C0978" w:rsidRPr="00F37DB5" w:rsidRDefault="000C0978" w:rsidP="000C0978">
            <w:pPr>
              <w:pStyle w:val="ParaText"/>
              <w:spacing w:after="0" w:line="240" w:lineRule="auto"/>
              <w:rPr>
                <w:sz w:val="20"/>
                <w:szCs w:val="20"/>
              </w:rPr>
            </w:pPr>
            <w:r>
              <w:rPr>
                <w:sz w:val="20"/>
                <w:szCs w:val="20"/>
              </w:rPr>
              <w:t>Waste</w:t>
            </w:r>
          </w:p>
        </w:tc>
        <w:tc>
          <w:tcPr>
            <w:tcW w:w="2340" w:type="dxa"/>
          </w:tcPr>
          <w:p w14:paraId="3C0B6829" w14:textId="77777777" w:rsidR="000C0978" w:rsidRPr="00F37DB5" w:rsidRDefault="000C0978" w:rsidP="000C0978">
            <w:pPr>
              <w:pStyle w:val="ParaText"/>
              <w:spacing w:after="0" w:line="240" w:lineRule="auto"/>
              <w:rPr>
                <w:sz w:val="20"/>
                <w:szCs w:val="20"/>
              </w:rPr>
            </w:pPr>
            <w:r>
              <w:rPr>
                <w:sz w:val="20"/>
                <w:szCs w:val="20"/>
              </w:rPr>
              <w:t xml:space="preserve">Solid </w:t>
            </w:r>
            <w:r w:rsidRPr="00F37DB5">
              <w:rPr>
                <w:sz w:val="20"/>
                <w:szCs w:val="20"/>
              </w:rPr>
              <w:t>Waste</w:t>
            </w:r>
          </w:p>
        </w:tc>
        <w:tc>
          <w:tcPr>
            <w:tcW w:w="3420" w:type="dxa"/>
          </w:tcPr>
          <w:p w14:paraId="4DB7DF58" w14:textId="42DE7906" w:rsidR="00673743" w:rsidRDefault="000C0978" w:rsidP="005C6728">
            <w:pPr>
              <w:pStyle w:val="ParaText"/>
              <w:spacing w:after="0" w:line="240" w:lineRule="auto"/>
              <w:rPr>
                <w:sz w:val="20"/>
                <w:szCs w:val="20"/>
                <w:lang w:eastAsia="zh-CN"/>
              </w:rPr>
            </w:pPr>
            <w:r w:rsidRPr="00F37DB5">
              <w:rPr>
                <w:sz w:val="20"/>
                <w:szCs w:val="20"/>
                <w:lang w:eastAsia="zh-CN"/>
              </w:rPr>
              <w:t>Landfills</w:t>
            </w:r>
          </w:p>
          <w:p w14:paraId="3C0B682D" w14:textId="77AE1F3D" w:rsidR="000C0978" w:rsidRPr="00F37DB5" w:rsidRDefault="00673743" w:rsidP="005C6728">
            <w:pPr>
              <w:pStyle w:val="ParaText"/>
              <w:spacing w:after="0" w:line="240" w:lineRule="auto"/>
              <w:rPr>
                <w:sz w:val="20"/>
                <w:szCs w:val="20"/>
                <w:lang w:eastAsia="zh-CN"/>
              </w:rPr>
            </w:pPr>
            <w:r>
              <w:rPr>
                <w:sz w:val="20"/>
                <w:szCs w:val="20"/>
                <w:lang w:eastAsia="zh-CN"/>
              </w:rPr>
              <w:t>Incine</w:t>
            </w:r>
            <w:r w:rsidR="000C0978">
              <w:rPr>
                <w:sz w:val="20"/>
                <w:szCs w:val="20"/>
                <w:lang w:eastAsia="zh-CN"/>
              </w:rPr>
              <w:t>ration of waste generated in the city</w:t>
            </w:r>
          </w:p>
        </w:tc>
        <w:tc>
          <w:tcPr>
            <w:tcW w:w="2185" w:type="dxa"/>
          </w:tcPr>
          <w:p w14:paraId="3C0B682E" w14:textId="77777777" w:rsidR="000C0978" w:rsidRPr="00F37DB5" w:rsidRDefault="000C0978" w:rsidP="000C0978">
            <w:pPr>
              <w:pStyle w:val="ParaText"/>
              <w:spacing w:after="0" w:line="240" w:lineRule="auto"/>
              <w:rPr>
                <w:sz w:val="20"/>
                <w:szCs w:val="20"/>
                <w:lang w:eastAsia="zh-CN"/>
              </w:rPr>
            </w:pPr>
            <w:r w:rsidRPr="00F37DB5">
              <w:rPr>
                <w:sz w:val="20"/>
                <w:szCs w:val="20"/>
                <w:lang w:eastAsia="zh-CN"/>
              </w:rPr>
              <w:t>Landfill gas (methane)</w:t>
            </w:r>
          </w:p>
        </w:tc>
      </w:tr>
      <w:tr w:rsidR="000C0978" w:rsidRPr="00F37DB5" w14:paraId="3C0B6834" w14:textId="77777777" w:rsidTr="005F76C3">
        <w:trPr>
          <w:cnfStyle w:val="000000100000" w:firstRow="0" w:lastRow="0" w:firstColumn="0" w:lastColumn="0" w:oddVBand="0" w:evenVBand="0" w:oddHBand="1" w:evenHBand="0" w:firstRowFirstColumn="0" w:firstRowLastColumn="0" w:lastRowFirstColumn="0" w:lastRowLastColumn="0"/>
        </w:trPr>
        <w:tc>
          <w:tcPr>
            <w:tcW w:w="1826" w:type="dxa"/>
            <w:vMerge/>
          </w:tcPr>
          <w:p w14:paraId="3C0B6830" w14:textId="77777777" w:rsidR="000C0978" w:rsidRDefault="000C0978" w:rsidP="000C0978">
            <w:pPr>
              <w:pStyle w:val="ParaText"/>
              <w:spacing w:after="0" w:line="240" w:lineRule="auto"/>
              <w:rPr>
                <w:sz w:val="20"/>
                <w:szCs w:val="20"/>
              </w:rPr>
            </w:pPr>
          </w:p>
        </w:tc>
        <w:tc>
          <w:tcPr>
            <w:tcW w:w="2340" w:type="dxa"/>
          </w:tcPr>
          <w:p w14:paraId="3C0B6831" w14:textId="77777777" w:rsidR="000C0978" w:rsidRPr="00F37DB5" w:rsidRDefault="000C0978" w:rsidP="000C0978">
            <w:pPr>
              <w:pStyle w:val="ParaText"/>
              <w:spacing w:after="0" w:line="240" w:lineRule="auto"/>
              <w:rPr>
                <w:sz w:val="20"/>
                <w:szCs w:val="20"/>
              </w:rPr>
            </w:pPr>
            <w:r>
              <w:rPr>
                <w:sz w:val="20"/>
                <w:szCs w:val="20"/>
              </w:rPr>
              <w:t>Wastewater</w:t>
            </w:r>
          </w:p>
        </w:tc>
        <w:tc>
          <w:tcPr>
            <w:tcW w:w="3420" w:type="dxa"/>
          </w:tcPr>
          <w:p w14:paraId="3C0B6832" w14:textId="6DF1681C" w:rsidR="000C0978" w:rsidRPr="00F37DB5" w:rsidRDefault="000C0978" w:rsidP="000C0978">
            <w:pPr>
              <w:pStyle w:val="ParaText"/>
              <w:spacing w:after="0" w:line="240" w:lineRule="auto"/>
              <w:rPr>
                <w:sz w:val="20"/>
                <w:szCs w:val="20"/>
                <w:lang w:eastAsia="zh-CN"/>
              </w:rPr>
            </w:pPr>
            <w:r>
              <w:rPr>
                <w:sz w:val="20"/>
                <w:szCs w:val="20"/>
                <w:lang w:eastAsia="zh-CN"/>
              </w:rPr>
              <w:t>Process and fugitive emissions from treating wastewater</w:t>
            </w:r>
          </w:p>
        </w:tc>
        <w:tc>
          <w:tcPr>
            <w:tcW w:w="2185" w:type="dxa"/>
          </w:tcPr>
          <w:p w14:paraId="3C0B6833" w14:textId="77777777" w:rsidR="000C0978" w:rsidRPr="00F37DB5" w:rsidRDefault="000C0978" w:rsidP="000C0978">
            <w:pPr>
              <w:pStyle w:val="ParaText"/>
              <w:spacing w:after="0" w:line="240" w:lineRule="auto"/>
              <w:rPr>
                <w:sz w:val="20"/>
                <w:szCs w:val="20"/>
                <w:lang w:eastAsia="zh-CN"/>
              </w:rPr>
            </w:pPr>
            <w:r>
              <w:rPr>
                <w:sz w:val="20"/>
                <w:szCs w:val="20"/>
                <w:lang w:eastAsia="zh-CN"/>
              </w:rPr>
              <w:t>Not applicable</w:t>
            </w:r>
          </w:p>
        </w:tc>
      </w:tr>
    </w:tbl>
    <w:p w14:paraId="3C0B683D" w14:textId="77777777" w:rsidR="000C0978" w:rsidRPr="00F37DB5" w:rsidRDefault="000C0978" w:rsidP="000C0978">
      <w:pPr>
        <w:widowControl w:val="0"/>
        <w:autoSpaceDE w:val="0"/>
        <w:autoSpaceDN w:val="0"/>
        <w:adjustRightInd w:val="0"/>
        <w:rPr>
          <w:rFonts w:ascii="Tahoma" w:hAnsi="Tahoma" w:cs="Tahoma"/>
          <w:sz w:val="24"/>
          <w:szCs w:val="24"/>
        </w:rPr>
      </w:pPr>
    </w:p>
    <w:p w14:paraId="3C0B683E" w14:textId="77777777" w:rsidR="000C0978" w:rsidRDefault="000C0978" w:rsidP="000C0978">
      <w:pPr>
        <w:pStyle w:val="Heading2"/>
        <w:tabs>
          <w:tab w:val="num" w:pos="1080"/>
        </w:tabs>
        <w:spacing w:before="240" w:after="120"/>
        <w:ind w:left="1080" w:hanging="1080"/>
      </w:pPr>
      <w:bookmarkStart w:id="28" w:name="_Toc457892257"/>
      <w:r>
        <w:t>Geographic Boundary</w:t>
      </w:r>
      <w:bookmarkEnd w:id="28"/>
    </w:p>
    <w:p w14:paraId="3C0B683F" w14:textId="281E9490" w:rsidR="000C0978" w:rsidRDefault="000C0978" w:rsidP="00D959AD">
      <w:pPr>
        <w:pStyle w:val="ParaText"/>
      </w:pPr>
      <w:r w:rsidRPr="007E03F5">
        <w:t xml:space="preserve">Cambridge has undertaken </w:t>
      </w:r>
      <w:r>
        <w:t>this</w:t>
      </w:r>
      <w:r w:rsidRPr="007E03F5">
        <w:t xml:space="preserve"> </w:t>
      </w:r>
      <w:r>
        <w:t>c</w:t>
      </w:r>
      <w:r w:rsidRPr="007E03F5">
        <w:t>ommunity</w:t>
      </w:r>
      <w:r>
        <w:t>-w</w:t>
      </w:r>
      <w:r w:rsidRPr="007E03F5">
        <w:t xml:space="preserve">ide </w:t>
      </w:r>
      <w:r w:rsidR="00CD380D">
        <w:t>g</w:t>
      </w:r>
      <w:r w:rsidR="00CD380D" w:rsidRPr="007E03F5">
        <w:t xml:space="preserve">reenhouse </w:t>
      </w:r>
      <w:r w:rsidR="00CD380D">
        <w:t>g</w:t>
      </w:r>
      <w:r w:rsidR="00CD380D" w:rsidRPr="007E03F5">
        <w:t xml:space="preserve">as </w:t>
      </w:r>
      <w:r w:rsidR="00CD380D">
        <w:t>i</w:t>
      </w:r>
      <w:r w:rsidRPr="007E03F5">
        <w:t>nventory primarily to advance the City’s efforts to</w:t>
      </w:r>
      <w:r>
        <w:t>wards</w:t>
      </w:r>
      <w:r w:rsidRPr="007E03F5">
        <w:t xml:space="preserve"> </w:t>
      </w:r>
      <w:r>
        <w:t>managing and mitigating</w:t>
      </w:r>
      <w:r w:rsidRPr="007E03F5">
        <w:t xml:space="preserve"> </w:t>
      </w:r>
      <w:r>
        <w:t>c</w:t>
      </w:r>
      <w:r w:rsidRPr="007E03F5">
        <w:t>limate chang</w:t>
      </w:r>
      <w:r w:rsidR="00D959AD">
        <w:t>e</w:t>
      </w:r>
      <w:r>
        <w:t xml:space="preserve">. </w:t>
      </w:r>
      <w:r w:rsidR="004510C2">
        <w:t xml:space="preserve">The inventory </w:t>
      </w:r>
      <w:r>
        <w:t xml:space="preserve">will also </w:t>
      </w:r>
      <w:r w:rsidRPr="007E03F5">
        <w:t>assist in develop</w:t>
      </w:r>
      <w:r w:rsidR="004510C2">
        <w:t>ing strategies in the future to</w:t>
      </w:r>
      <w:r w:rsidRPr="007E03F5">
        <w:t xml:space="preserve"> reduce emissions. </w:t>
      </w:r>
      <w:r>
        <w:t xml:space="preserve">The ability to influence and support actions however, are limited by social, economic and physical boundaries. It’s important that the boundaries for the emissions inventory and </w:t>
      </w:r>
      <w:r w:rsidR="005C6728">
        <w:t>a</w:t>
      </w:r>
      <w:r>
        <w:t xml:space="preserve">ction plans are well defined. The GPC requires the cities identify a geographic area for the inventory that most appropriately serves the purpose of the inventory. </w:t>
      </w:r>
      <w:proofErr w:type="gramStart"/>
      <w:r w:rsidRPr="007E03F5">
        <w:t>As a result</w:t>
      </w:r>
      <w:proofErr w:type="gramEnd"/>
      <w:r w:rsidRPr="007E03F5">
        <w:t xml:space="preserve">, the City </w:t>
      </w:r>
      <w:r>
        <w:t xml:space="preserve">has chosen to </w:t>
      </w:r>
      <w:r w:rsidRPr="007E03F5">
        <w:t>utilize the administrative boundary of the City of Cambridge as the geographic boundary for th</w:t>
      </w:r>
      <w:r>
        <w:t>is</w:t>
      </w:r>
      <w:r w:rsidRPr="007E03F5">
        <w:t xml:space="preserve"> community-wide inventory. </w:t>
      </w:r>
    </w:p>
    <w:p w14:paraId="3C0B6840" w14:textId="77777777" w:rsidR="000C0978" w:rsidRPr="007E03F5" w:rsidRDefault="000C0978" w:rsidP="0014530C">
      <w:pPr>
        <w:pStyle w:val="ParaText"/>
      </w:pPr>
      <w:r w:rsidRPr="007E03F5">
        <w:t xml:space="preserve">Establishing a community-wide inventory that is focused on the emissions occurring within </w:t>
      </w:r>
      <w:r>
        <w:t>the administrative boundary</w:t>
      </w:r>
      <w:r w:rsidRPr="007E03F5">
        <w:t xml:space="preserve"> enable</w:t>
      </w:r>
      <w:r>
        <w:t>s</w:t>
      </w:r>
      <w:r w:rsidRPr="007E03F5">
        <w:t xml:space="preserve"> Cambridge to develop emissions forecasts that directly relate to the future of the City</w:t>
      </w:r>
      <w:r w:rsidR="0014530C">
        <w:t>, and</w:t>
      </w:r>
      <w:r w:rsidRPr="007E03F5">
        <w:t xml:space="preserve"> </w:t>
      </w:r>
      <w:r>
        <w:t>our goals for reducing city-wide emissions</w:t>
      </w:r>
      <w:r w:rsidRPr="007E03F5">
        <w:t xml:space="preserve">. As outlined in the GPC, establishing this geographic boundary </w:t>
      </w:r>
      <w:r>
        <w:t>does</w:t>
      </w:r>
      <w:r w:rsidRPr="007E03F5">
        <w:t xml:space="preserve"> not exclude emissions </w:t>
      </w:r>
      <w:r>
        <w:t xml:space="preserve">related to city activities </w:t>
      </w:r>
      <w:r w:rsidRPr="007E03F5">
        <w:t xml:space="preserve">that occur outside the City limits (e.g. electricity generation or landfilled waste emissions). </w:t>
      </w:r>
    </w:p>
    <w:p w14:paraId="3C0B6841" w14:textId="77777777" w:rsidR="000C0978" w:rsidRDefault="000C0978" w:rsidP="000C0978">
      <w:pPr>
        <w:pStyle w:val="Heading2"/>
        <w:tabs>
          <w:tab w:val="num" w:pos="1080"/>
        </w:tabs>
        <w:spacing w:before="240" w:after="120"/>
        <w:ind w:left="1080" w:hanging="1080"/>
      </w:pPr>
      <w:bookmarkStart w:id="29" w:name="_Toc457892258"/>
      <w:r>
        <w:lastRenderedPageBreak/>
        <w:t>Baseline Year and Forecast Years</w:t>
      </w:r>
      <w:bookmarkEnd w:id="29"/>
    </w:p>
    <w:p w14:paraId="3C0B6843" w14:textId="6389A636" w:rsidR="000C0978" w:rsidRPr="00407ABA" w:rsidRDefault="000C0978" w:rsidP="00443430">
      <w:pPr>
        <w:pStyle w:val="ParaText"/>
      </w:pPr>
      <w:r>
        <w:t>The c</w:t>
      </w:r>
      <w:r w:rsidRPr="00407ABA">
        <w:t xml:space="preserve">alendar year 2012 </w:t>
      </w:r>
      <w:r>
        <w:t xml:space="preserve">was chosen as the </w:t>
      </w:r>
      <w:r w:rsidRPr="00407ABA">
        <w:t>baseline year</w:t>
      </w:r>
      <w:r>
        <w:t xml:space="preserve"> for this inventory based on availability and quality of data</w:t>
      </w:r>
      <w:r w:rsidRPr="00407ABA">
        <w:t xml:space="preserve">. </w:t>
      </w:r>
      <w:r>
        <w:t>One of t</w:t>
      </w:r>
      <w:r w:rsidRPr="00407ABA">
        <w:t>he main benefit</w:t>
      </w:r>
      <w:r>
        <w:t>s</w:t>
      </w:r>
      <w:r w:rsidRPr="00407ABA">
        <w:t xml:space="preserve"> of selecting 2012 as the </w:t>
      </w:r>
      <w:r w:rsidR="005F76C3">
        <w:t>c</w:t>
      </w:r>
      <w:r w:rsidRPr="00407ABA">
        <w:t>ommunity</w:t>
      </w:r>
      <w:r>
        <w:t>-wi</w:t>
      </w:r>
      <w:r w:rsidRPr="00407ABA">
        <w:t xml:space="preserve">de </w:t>
      </w:r>
      <w:r w:rsidR="005F76C3">
        <w:t>i</w:t>
      </w:r>
      <w:r w:rsidRPr="00407ABA">
        <w:t>nventory year is that i</w:t>
      </w:r>
      <w:r w:rsidRPr="00B63C63">
        <w:t xml:space="preserve">t </w:t>
      </w:r>
      <w:r>
        <w:t xml:space="preserve">also </w:t>
      </w:r>
      <w:r w:rsidRPr="00B63C63">
        <w:t>coincides with the City’s</w:t>
      </w:r>
      <w:r w:rsidRPr="00407ABA">
        <w:t xml:space="preserve"> 2012 Municipal Operations Inventory. </w:t>
      </w:r>
      <w:r>
        <w:t>T</w:t>
      </w:r>
      <w:r w:rsidRPr="00407ABA">
        <w:t>iming municipal operations and community inventorie</w:t>
      </w:r>
      <w:r w:rsidRPr="00B63C63">
        <w:t xml:space="preserve">s to occur on the same years </w:t>
      </w:r>
      <w:r>
        <w:t>will</w:t>
      </w:r>
      <w:r w:rsidRPr="00407ABA">
        <w:t xml:space="preserve"> enable improved coordination between municipal-level and community-level emission reduction goals.</w:t>
      </w:r>
    </w:p>
    <w:p w14:paraId="3C0B6845" w14:textId="3A378DED" w:rsidR="000C0978" w:rsidRPr="00BC75DB" w:rsidRDefault="000C0978" w:rsidP="00443430">
      <w:pPr>
        <w:pStyle w:val="ParaText"/>
      </w:pPr>
      <w:r w:rsidRPr="00BC75DB">
        <w:t xml:space="preserve">For the forecast years, we chose to use 2030, 2040 and 2050 to align the City’s Net Zero Action Plan, and Climate Protection Action Committee’s (CPAC) </w:t>
      </w:r>
      <w:r>
        <w:t>R</w:t>
      </w:r>
      <w:r w:rsidRPr="00BC75DB">
        <w:t>oadmap for the City’s role in the global response to climate change.  Between 2015 and 2040 the city will undertake a series of actions identified in the Net Zero Action Plan that are anticipated to result in a 70% emissions reduction</w:t>
      </w:r>
      <w:r w:rsidR="00FC7B56">
        <w:t xml:space="preserve"> from the buildings sector</w:t>
      </w:r>
      <w:r w:rsidRPr="00BC75DB">
        <w:t xml:space="preserve">. The CPAC roadmap also provides a framework for actions to reduce emissions 80% by 2050. </w:t>
      </w:r>
      <w:r>
        <w:t>In a</w:t>
      </w:r>
      <w:r w:rsidRPr="00BC75DB">
        <w:t xml:space="preserve">ddition, the 2050 goals align with the State’s </w:t>
      </w:r>
      <w:r w:rsidR="00443430" w:rsidRPr="00BC75DB">
        <w:t>commitment</w:t>
      </w:r>
      <w:r w:rsidRPr="00BC75DB">
        <w:t xml:space="preserve"> to reduce emissions reductions 80% by 2050 </w:t>
      </w:r>
      <w:proofErr w:type="gramStart"/>
      <w:r w:rsidRPr="00BC75DB">
        <w:t>according to</w:t>
      </w:r>
      <w:proofErr w:type="gramEnd"/>
      <w:r w:rsidRPr="00BC75DB">
        <w:t xml:space="preserve"> the Global Warming Solutions Act</w:t>
      </w:r>
      <w:r>
        <w:t xml:space="preserve"> of 2008</w:t>
      </w:r>
      <w:r w:rsidRPr="00BC75DB">
        <w:t xml:space="preserve">. </w:t>
      </w:r>
    </w:p>
    <w:p w14:paraId="3C0B6846" w14:textId="77777777" w:rsidR="000C0978" w:rsidRPr="00BC75DB" w:rsidRDefault="000C0978" w:rsidP="00443430">
      <w:pPr>
        <w:pStyle w:val="ParaText"/>
      </w:pPr>
      <w:r w:rsidRPr="00BC75DB">
        <w:t xml:space="preserve">Aligning the emissions forecast years with these time horizons may also result in the added benefit of placing Cambridge’s greenhouse gas inventory and reduction goals on the same timeline other goals outlined in </w:t>
      </w:r>
      <w:r>
        <w:t xml:space="preserve">the forthcoming </w:t>
      </w:r>
      <w:r w:rsidRPr="00BC75DB">
        <w:t xml:space="preserve">Envision Cambridge </w:t>
      </w:r>
      <w:r>
        <w:t xml:space="preserve">plan </w:t>
      </w:r>
      <w:r w:rsidRPr="00BC75DB">
        <w:t xml:space="preserve">relating to housing, mobility, climate and the environment. </w:t>
      </w:r>
    </w:p>
    <w:p w14:paraId="3C0B6847" w14:textId="77777777" w:rsidR="000C0978" w:rsidRPr="008514AC" w:rsidRDefault="000C0978" w:rsidP="000C0978">
      <w:pPr>
        <w:pStyle w:val="Heading2"/>
        <w:tabs>
          <w:tab w:val="num" w:pos="1080"/>
        </w:tabs>
        <w:spacing w:before="240" w:after="120"/>
        <w:ind w:left="1080" w:hanging="1080"/>
      </w:pPr>
      <w:bookmarkStart w:id="30" w:name="_Toc457892261"/>
      <w:r w:rsidRPr="008514AC">
        <w:t>Quantifying Greenhouse Gas Emissions</w:t>
      </w:r>
      <w:bookmarkEnd w:id="21"/>
      <w:bookmarkEnd w:id="22"/>
      <w:bookmarkEnd w:id="23"/>
      <w:bookmarkEnd w:id="24"/>
      <w:bookmarkEnd w:id="25"/>
      <w:bookmarkEnd w:id="30"/>
    </w:p>
    <w:p w14:paraId="3C0B6848" w14:textId="237CDC44" w:rsidR="000C0978" w:rsidRDefault="000C0978" w:rsidP="00443430">
      <w:pPr>
        <w:pStyle w:val="ParaText"/>
      </w:pPr>
      <w:r w:rsidRPr="00E1721B">
        <w:t>All emissions in this inventory are quantified using calculation</w:t>
      </w:r>
      <w:r w:rsidR="00203844">
        <w:t>-</w:t>
      </w:r>
      <w:r w:rsidRPr="00E1721B">
        <w:t>based methodologies</w:t>
      </w:r>
      <w:r>
        <w:t xml:space="preserve">, which </w:t>
      </w:r>
      <w:r w:rsidRPr="001A0DA4">
        <w:t xml:space="preserve">calculate emissions using activity data </w:t>
      </w:r>
      <w:r>
        <w:t xml:space="preserve">from each reporting sector identified in the GPC </w:t>
      </w:r>
      <w:r w:rsidRPr="001A0DA4">
        <w:t>and emission factors. To calculate emissions accordingly, the basic equation is:</w:t>
      </w:r>
    </w:p>
    <w:p w14:paraId="3C0B6849" w14:textId="09C50E76" w:rsidR="000C0978" w:rsidRDefault="000C0978" w:rsidP="00443430">
      <w:pPr>
        <w:pStyle w:val="ParaText"/>
        <w:jc w:val="center"/>
      </w:pPr>
      <w:r w:rsidRPr="001A0DA4">
        <w:t>Activity Data</w:t>
      </w:r>
      <w:r>
        <w:t xml:space="preserve"> (unit</w:t>
      </w:r>
      <w:r w:rsidR="00203844">
        <w:t>s</w:t>
      </w:r>
      <w:r>
        <w:t>)</w:t>
      </w:r>
      <w:r w:rsidRPr="001A0DA4">
        <w:t xml:space="preserve"> </w:t>
      </w:r>
      <w:proofErr w:type="gramStart"/>
      <w:r w:rsidRPr="001A0DA4">
        <w:t>x  Emission</w:t>
      </w:r>
      <w:proofErr w:type="gramEnd"/>
      <w:r w:rsidRPr="001A0DA4">
        <w:t xml:space="preserve"> Factor </w:t>
      </w:r>
      <w:r w:rsidR="00203844">
        <w:t>(MT CO</w:t>
      </w:r>
      <w:r w:rsidR="00203844" w:rsidRPr="00203844">
        <w:rPr>
          <w:vertAlign w:val="subscript"/>
        </w:rPr>
        <w:t>2</w:t>
      </w:r>
      <w:r w:rsidR="00203844">
        <w:t>e / unit)</w:t>
      </w:r>
      <w:r w:rsidRPr="001A0DA4">
        <w:t xml:space="preserve">  =  Emissions</w:t>
      </w:r>
      <w:r>
        <w:t xml:space="preserve"> (MT</w:t>
      </w:r>
      <w:r w:rsidR="00203844">
        <w:t xml:space="preserve"> </w:t>
      </w:r>
      <w:r>
        <w:t>CO</w:t>
      </w:r>
      <w:r w:rsidRPr="00203844">
        <w:rPr>
          <w:vertAlign w:val="subscript"/>
        </w:rPr>
        <w:t>2</w:t>
      </w:r>
      <w:r>
        <w:t>e).</w:t>
      </w:r>
    </w:p>
    <w:p w14:paraId="3C0B684B" w14:textId="33AE91F4" w:rsidR="005D2C39" w:rsidRDefault="000C0978" w:rsidP="00443430">
      <w:pPr>
        <w:pStyle w:val="ParaText"/>
      </w:pPr>
      <w:r w:rsidRPr="00E1721B">
        <w:t xml:space="preserve">Activity data refer to the relevant measurement of energy use or other </w:t>
      </w:r>
      <w:r>
        <w:t>GHG</w:t>
      </w:r>
      <w:r w:rsidRPr="00E1721B">
        <w:t>-generating processes such as fuel consumption by fuel type, metered annual electricity consumption, and annual vehicle miles traveled. Known emission factors are used to convert energy usage or other activity data into associated quantities of emissions. Emissions factors are usually expressed in terms of emissions per unit of activity data (e.g. metric tons of CO</w:t>
      </w:r>
      <w:r w:rsidRPr="00F4723E">
        <w:rPr>
          <w:vertAlign w:val="subscript"/>
        </w:rPr>
        <w:t>2</w:t>
      </w:r>
      <w:r>
        <w:t xml:space="preserve"> per kWh of electricity</w:t>
      </w:r>
      <w:r w:rsidRPr="0020714F">
        <w:t xml:space="preserve">). </w:t>
      </w:r>
      <w:r w:rsidR="0020714F" w:rsidRPr="0020714F">
        <w:t>T</w:t>
      </w:r>
      <w:r w:rsidRPr="0020714F">
        <w:t>he emission factors and the assumptions and methodologies used in composing this inventory</w:t>
      </w:r>
      <w:r w:rsidR="0020714F" w:rsidRPr="0020714F">
        <w:t xml:space="preserve"> are described below</w:t>
      </w:r>
      <w:r w:rsidRPr="0020714F">
        <w:t>.</w:t>
      </w:r>
      <w:r w:rsidRPr="00F54068">
        <w:t xml:space="preserve"> </w:t>
      </w:r>
      <w:r>
        <w:t xml:space="preserve">Key activity data are listed in </w:t>
      </w:r>
      <w:r w:rsidR="00675EEE">
        <w:t xml:space="preserve">the </w:t>
      </w:r>
      <w:r w:rsidR="0020714F">
        <w:t>inventory results</w:t>
      </w:r>
      <w:r>
        <w:t xml:space="preserve"> </w:t>
      </w:r>
      <w:r w:rsidR="00DD282A">
        <w:t xml:space="preserve">section of the </w:t>
      </w:r>
      <w:r>
        <w:t>report</w:t>
      </w:r>
      <w:r w:rsidR="00DD282A">
        <w:t xml:space="preserve"> (Chapter 4)</w:t>
      </w:r>
      <w:r>
        <w:t>.</w:t>
      </w:r>
    </w:p>
    <w:p w14:paraId="3C0B684C" w14:textId="77777777" w:rsidR="00620427" w:rsidRDefault="00620427" w:rsidP="00620427">
      <w:pPr>
        <w:pStyle w:val="Heading3"/>
        <w:tabs>
          <w:tab w:val="clear" w:pos="907"/>
          <w:tab w:val="num" w:pos="1080"/>
        </w:tabs>
        <w:spacing w:before="0" w:after="240"/>
        <w:ind w:left="1080" w:hanging="1080"/>
      </w:pPr>
      <w:bookmarkStart w:id="31" w:name="_Toc457892262"/>
      <w:r>
        <w:lastRenderedPageBreak/>
        <w:t>Stationary Energy – Electricity</w:t>
      </w:r>
      <w:bookmarkEnd w:id="31"/>
    </w:p>
    <w:p w14:paraId="70C8120A" w14:textId="766455EC" w:rsidR="00235A48" w:rsidRDefault="00C32818" w:rsidP="00F6176F">
      <w:pPr>
        <w:pStyle w:val="ParaText"/>
      </w:pPr>
      <w:r>
        <w:t>Elec</w:t>
      </w:r>
      <w:r w:rsidR="00235A48" w:rsidRPr="00235A48">
        <w:t>tricity</w:t>
      </w:r>
      <w:r w:rsidR="00F6176F">
        <w:t xml:space="preserve"> generation in Massachusetts is made up of a </w:t>
      </w:r>
      <w:r w:rsidR="00F6176F" w:rsidRPr="00235A48">
        <w:t>mix of natural gas, nuclear, coal, hyd</w:t>
      </w:r>
      <w:r w:rsidR="00F6176F">
        <w:t>roelectric, and other renewable generators, and accounts</w:t>
      </w:r>
      <w:r w:rsidR="00235A48" w:rsidRPr="00235A48">
        <w:t xml:space="preserve"> for about </w:t>
      </w:r>
      <w:r w:rsidR="00F6176F">
        <w:t>21</w:t>
      </w:r>
      <w:r w:rsidR="00235A48" w:rsidRPr="00235A48">
        <w:t xml:space="preserve">% of </w:t>
      </w:r>
      <w:r w:rsidR="00F6176F">
        <w:t>Massachusetts’s</w:t>
      </w:r>
      <w:r w:rsidR="00235A48" w:rsidRPr="00235A48">
        <w:t xml:space="preserve"> total GHG</w:t>
      </w:r>
      <w:r w:rsidR="00F6176F">
        <w:t xml:space="preserve"> emissions.</w:t>
      </w:r>
      <w:r w:rsidR="00F6176F" w:rsidRPr="000A47ED">
        <w:rPr>
          <w:rStyle w:val="FootnoteReference"/>
          <w:sz w:val="18"/>
          <w:szCs w:val="18"/>
        </w:rPr>
        <w:footnoteReference w:id="3"/>
      </w:r>
      <w:r w:rsidR="00F6176F">
        <w:t xml:space="preserve"> </w:t>
      </w:r>
      <w:r w:rsidR="00DD282A">
        <w:t>Much of the e</w:t>
      </w:r>
      <w:r w:rsidR="00235A48" w:rsidRPr="00235A48">
        <w:t>lectricity used in the Commonwealth is imported from power plants located in other states and in Canada. On a city level, electricity consumption is primarily a Scope 2 emissions source.</w:t>
      </w:r>
    </w:p>
    <w:p w14:paraId="4352B184" w14:textId="466901E5" w:rsidR="00A10EFE" w:rsidRDefault="00A10EFE" w:rsidP="009104CE">
      <w:pPr>
        <w:pStyle w:val="ParaText"/>
      </w:pPr>
      <w:r w:rsidRPr="00A10EFE">
        <w:rPr>
          <w:b/>
          <w:bCs/>
        </w:rPr>
        <w:t>Data Summary</w:t>
      </w:r>
    </w:p>
    <w:p w14:paraId="03D7AA4D" w14:textId="0D16A56F" w:rsidR="00C3681D" w:rsidRDefault="009104CE" w:rsidP="00C3681D">
      <w:pPr>
        <w:pStyle w:val="ParaText"/>
      </w:pPr>
      <w:r w:rsidRPr="009104CE">
        <w:t>Grid-supplied electricity is provided throughout the city and powers the residential, commercial, and industrial sectors, in addition to city infrastructure</w:t>
      </w:r>
      <w:r w:rsidR="0047172C">
        <w:t xml:space="preserve"> and transport systems</w:t>
      </w:r>
      <w:r w:rsidRPr="009104CE">
        <w:t xml:space="preserve">.  The City of Cambridge has a single </w:t>
      </w:r>
      <w:r w:rsidR="000D0A0E">
        <w:t>electricity</w:t>
      </w:r>
      <w:r w:rsidRPr="009104CE">
        <w:t xml:space="preserve"> provider, </w:t>
      </w:r>
      <w:proofErr w:type="spellStart"/>
      <w:r w:rsidRPr="009104CE">
        <w:t>Eversource</w:t>
      </w:r>
      <w:proofErr w:type="spellEnd"/>
      <w:r w:rsidRPr="009104CE">
        <w:t>, to</w:t>
      </w:r>
      <w:r>
        <w:t xml:space="preserve"> transmit </w:t>
      </w:r>
      <w:r w:rsidRPr="009104CE">
        <w:t xml:space="preserve">and distribute electricity.  As such, </w:t>
      </w:r>
      <w:proofErr w:type="spellStart"/>
      <w:r w:rsidRPr="009104CE">
        <w:t>Eversource</w:t>
      </w:r>
      <w:proofErr w:type="spellEnd"/>
      <w:r w:rsidRPr="009104CE">
        <w:t xml:space="preserve"> </w:t>
      </w:r>
      <w:r w:rsidR="0047172C">
        <w:t>was</w:t>
      </w:r>
      <w:r w:rsidRPr="009104CE">
        <w:t xml:space="preserve"> the </w:t>
      </w:r>
      <w:r w:rsidR="0047172C">
        <w:t xml:space="preserve">primary </w:t>
      </w:r>
      <w:r w:rsidRPr="009104CE">
        <w:t xml:space="preserve">source for gathering electricity consumption data in the city. </w:t>
      </w:r>
      <w:r w:rsidR="00C3681D" w:rsidRPr="00A10EFE">
        <w:t xml:space="preserve">Real consumption data </w:t>
      </w:r>
      <w:r w:rsidR="00C3681D">
        <w:t xml:space="preserve">was </w:t>
      </w:r>
      <w:r w:rsidR="00C3681D" w:rsidRPr="00A10EFE">
        <w:t xml:space="preserve">used to determine the electricity consumption </w:t>
      </w:r>
      <w:r w:rsidR="00E90DA4">
        <w:t>(kWh/year) from each building sector.</w:t>
      </w:r>
    </w:p>
    <w:p w14:paraId="38D538B7" w14:textId="6C9A1A0C" w:rsidR="002B5C81" w:rsidRDefault="002B5C81" w:rsidP="00C3681D">
      <w:pPr>
        <w:pStyle w:val="ParaText"/>
      </w:pPr>
      <w:r>
        <w:t xml:space="preserve">When coordinating with </w:t>
      </w:r>
      <w:proofErr w:type="spellStart"/>
      <w:r>
        <w:t>Eversource</w:t>
      </w:r>
      <w:proofErr w:type="spellEnd"/>
      <w:r>
        <w:t xml:space="preserve"> to acquire the sector level consumption data</w:t>
      </w:r>
      <w:r w:rsidR="000547FD">
        <w:t xml:space="preserve"> for future inventories</w:t>
      </w:r>
      <w:r>
        <w:t xml:space="preserve">, </w:t>
      </w:r>
      <w:r w:rsidR="000547FD">
        <w:t xml:space="preserve">the city will need to confirm that the information associated with Special Ledger Accounts is </w:t>
      </w:r>
      <w:r w:rsidR="00BB0297">
        <w:t>reviewed</w:t>
      </w:r>
      <w:r w:rsidR="000547FD">
        <w:t xml:space="preserve">. These Special Ledge Accounts are maintained separately from the general population account data and are associated with customers who require that their account information be kept </w:t>
      </w:r>
      <w:r w:rsidR="00BB0297">
        <w:t>private</w:t>
      </w:r>
      <w:r w:rsidR="000547FD">
        <w:t xml:space="preserve">. These types of accounts exist for both electricity and natural gas customers. </w:t>
      </w:r>
      <w:r w:rsidR="00BB0297">
        <w:t xml:space="preserve">Electricity use associated with these accounts was reviewed, </w:t>
      </w:r>
      <w:r w:rsidR="00386D39">
        <w:t xml:space="preserve">but determined to </w:t>
      </w:r>
      <w:r w:rsidR="008C4C97">
        <w:t>not be useful f</w:t>
      </w:r>
      <w:r w:rsidR="00BB0297">
        <w:t>or</w:t>
      </w:r>
      <w:r w:rsidR="000547FD">
        <w:t xml:space="preserve"> the 2012 community-wide inventory</w:t>
      </w:r>
      <w:r w:rsidR="008C4C97">
        <w:t>. O</w:t>
      </w:r>
      <w:r w:rsidR="00BB0297">
        <w:t xml:space="preserve">nly natural gas consumption data was </w:t>
      </w:r>
      <w:r w:rsidR="008C4C97">
        <w:t>used for this inventory</w:t>
      </w:r>
      <w:r w:rsidR="00BB0297">
        <w:t xml:space="preserve"> (see Section 1.6.2 for further discussion on use of Ledger Account information for emissions from natural gas). </w:t>
      </w:r>
    </w:p>
    <w:p w14:paraId="0AB7AFC3" w14:textId="7B07252A" w:rsidR="00A10EFE" w:rsidRPr="00A10EFE" w:rsidRDefault="00A10EFE" w:rsidP="00571F90">
      <w:pPr>
        <w:pStyle w:val="ParaText"/>
        <w:rPr>
          <w:b/>
          <w:bCs/>
        </w:rPr>
      </w:pPr>
      <w:r w:rsidRPr="00A10EFE">
        <w:rPr>
          <w:b/>
          <w:bCs/>
        </w:rPr>
        <w:t>GPC Quantification Method Used</w:t>
      </w:r>
    </w:p>
    <w:p w14:paraId="1FDA2D5D" w14:textId="7C8C5CB7" w:rsidR="00B2600D" w:rsidRDefault="00A10EFE" w:rsidP="00BD1E96">
      <w:pPr>
        <w:pStyle w:val="ParaText"/>
      </w:pPr>
      <w:r>
        <w:t xml:space="preserve">In </w:t>
      </w:r>
      <w:r w:rsidRPr="009104CE">
        <w:t>accordance with Section 6.5 of the GPC, the location-based method</w:t>
      </w:r>
      <w:r w:rsidR="00E90DA4">
        <w:t xml:space="preserve"> was used for the inventory. R</w:t>
      </w:r>
      <w:r w:rsidRPr="009104CE">
        <w:t>eport</w:t>
      </w:r>
      <w:r w:rsidR="00751E69">
        <w:t>ed</w:t>
      </w:r>
      <w:r w:rsidRPr="009104CE">
        <w:t xml:space="preserve"> emissions </w:t>
      </w:r>
      <w:r w:rsidR="00751E69">
        <w:t>from</w:t>
      </w:r>
      <w:r w:rsidRPr="009104CE">
        <w:t xml:space="preserve"> all grid-supplied electricity consumed within the city’s boundaries</w:t>
      </w:r>
      <w:r w:rsidR="00BD1E96" w:rsidRPr="00BD1E96">
        <w:t xml:space="preserve"> </w:t>
      </w:r>
      <w:r w:rsidR="00E90DA4">
        <w:t xml:space="preserve">were reported </w:t>
      </w:r>
      <w:r w:rsidR="00BD1E96">
        <w:t>as Scope 2 emissions.</w:t>
      </w:r>
      <w:r>
        <w:t xml:space="preserve"> </w:t>
      </w:r>
      <w:r w:rsidR="00B2600D">
        <w:t xml:space="preserve">BASIC/BASIC+ reporting avoids double counting by excluding </w:t>
      </w:r>
      <w:r w:rsidR="00571F90">
        <w:t>S</w:t>
      </w:r>
      <w:r w:rsidR="00B2600D">
        <w:t>cope 1 emissions from electricity generation supplied to the grid</w:t>
      </w:r>
      <w:r w:rsidR="00BD1E96">
        <w:t xml:space="preserve">.  </w:t>
      </w:r>
    </w:p>
    <w:p w14:paraId="363A80D1" w14:textId="71C080E7" w:rsidR="00751E69" w:rsidRDefault="00BD1E96" w:rsidP="00751E69">
      <w:pPr>
        <w:pStyle w:val="ParaText"/>
      </w:pPr>
      <w:r>
        <w:t>T</w:t>
      </w:r>
      <w:r w:rsidR="002C1A84">
        <w:t>he grid-based average emission factor is necessary due to the imprecise available supply balance of electricity generated and consumed within the city boundaries.</w:t>
      </w:r>
      <w:r w:rsidR="00751E69">
        <w:t xml:space="preserve"> The emissions factor </w:t>
      </w:r>
      <w:r w:rsidR="00065AC0">
        <w:t xml:space="preserve">used </w:t>
      </w:r>
      <w:r w:rsidR="00751E69">
        <w:t xml:space="preserve">for grid supplied electricity </w:t>
      </w:r>
      <w:r w:rsidR="00065AC0">
        <w:t xml:space="preserve">is </w:t>
      </w:r>
      <w:r w:rsidR="00751E69" w:rsidRPr="00751E69">
        <w:t xml:space="preserve">provided in </w:t>
      </w:r>
      <w:r w:rsidR="00751E69" w:rsidRPr="00751E69">
        <w:fldChar w:fldCharType="begin"/>
      </w:r>
      <w:r w:rsidR="00751E69" w:rsidRPr="00751E69">
        <w:instrText xml:space="preserve"> REF _Ref472345165 \h </w:instrText>
      </w:r>
      <w:r w:rsidR="00751E69">
        <w:instrText xml:space="preserve"> \* MERGEFORMAT </w:instrText>
      </w:r>
      <w:r w:rsidR="00751E69" w:rsidRPr="00751E69">
        <w:fldChar w:fldCharType="separate"/>
      </w:r>
      <w:r w:rsidR="00631613" w:rsidRPr="00631613">
        <w:t xml:space="preserve">Table </w:t>
      </w:r>
      <w:r w:rsidR="00631613" w:rsidRPr="00631613">
        <w:rPr>
          <w:noProof/>
        </w:rPr>
        <w:t>2</w:t>
      </w:r>
      <w:r w:rsidR="00751E69" w:rsidRPr="00751E69">
        <w:fldChar w:fldCharType="end"/>
      </w:r>
      <w:r w:rsidR="00751E69">
        <w:t xml:space="preserve"> </w:t>
      </w:r>
      <w:r w:rsidR="00065AC0">
        <w:t xml:space="preserve">and </w:t>
      </w:r>
      <w:r w:rsidR="00751E69">
        <w:t>is based on data from ISO New England</w:t>
      </w:r>
      <w:r w:rsidR="00751E69" w:rsidRPr="000A47ED">
        <w:rPr>
          <w:rStyle w:val="FootnoteReference"/>
          <w:sz w:val="18"/>
          <w:szCs w:val="18"/>
        </w:rPr>
        <w:footnoteReference w:id="4"/>
      </w:r>
      <w:r w:rsidR="00065AC0">
        <w:t xml:space="preserve">. </w:t>
      </w:r>
      <w:r w:rsidR="004B5DD3">
        <w:t xml:space="preserve">In addition, methane (CH4) emissions as well as nitrous oxide (N2O) emissions from grid supplied energy also need </w:t>
      </w:r>
      <w:r w:rsidR="004B5DD3">
        <w:lastRenderedPageBreak/>
        <w:t xml:space="preserve">to be </w:t>
      </w:r>
      <w:proofErr w:type="gramStart"/>
      <w:r w:rsidR="004B5DD3">
        <w:t>taken into account</w:t>
      </w:r>
      <w:proofErr w:type="gramEnd"/>
      <w:r w:rsidR="004B5DD3">
        <w:t xml:space="preserve"> to determine the total CO2 equivalent (CO2e) emissions factor. The CH4 and N2O emissions rates were gathered from the U.S. Environmental Protection Agency’s </w:t>
      </w:r>
      <w:proofErr w:type="spellStart"/>
      <w:r w:rsidR="004B5DD3">
        <w:t>eGRID</w:t>
      </w:r>
      <w:proofErr w:type="spellEnd"/>
      <w:r w:rsidR="004B5DD3">
        <w:t xml:space="preserve"> 2012</w:t>
      </w:r>
      <w:r w:rsidR="00CB387C">
        <w:t xml:space="preserve"> data. The emissions rates for these gases </w:t>
      </w:r>
      <w:proofErr w:type="gramStart"/>
      <w:r w:rsidR="00CB387C">
        <w:t>according to</w:t>
      </w:r>
      <w:proofErr w:type="gramEnd"/>
      <w:r w:rsidR="00CB387C">
        <w:t xml:space="preserve"> </w:t>
      </w:r>
      <w:proofErr w:type="spellStart"/>
      <w:r w:rsidR="00CB387C">
        <w:t>eGRID</w:t>
      </w:r>
      <w:proofErr w:type="spellEnd"/>
      <w:r w:rsidR="00CB387C">
        <w:t xml:space="preserve"> 2012 are </w:t>
      </w:r>
      <w:r w:rsidR="004F16C6">
        <w:t xml:space="preserve">72.84 </w:t>
      </w:r>
      <w:proofErr w:type="spellStart"/>
      <w:r w:rsidR="004F16C6">
        <w:t>lb</w:t>
      </w:r>
      <w:proofErr w:type="spellEnd"/>
      <w:r w:rsidR="004F16C6">
        <w:t>/</w:t>
      </w:r>
      <w:proofErr w:type="spellStart"/>
      <w:r w:rsidR="004F16C6">
        <w:t>GWh</w:t>
      </w:r>
      <w:proofErr w:type="spellEnd"/>
      <w:r w:rsidR="004F16C6">
        <w:t xml:space="preserve"> for CH4 and 10.71 </w:t>
      </w:r>
      <w:proofErr w:type="spellStart"/>
      <w:r w:rsidR="004F16C6">
        <w:t>lb</w:t>
      </w:r>
      <w:proofErr w:type="spellEnd"/>
      <w:r w:rsidR="004F16C6">
        <w:t>/</w:t>
      </w:r>
      <w:proofErr w:type="spellStart"/>
      <w:r w:rsidR="004F16C6">
        <w:t>GWh</w:t>
      </w:r>
      <w:proofErr w:type="spellEnd"/>
      <w:r w:rsidR="004F16C6">
        <w:t xml:space="preserve"> for N2O. Based on these emissions rates, the total CO2e for electricity emissions was determined </w:t>
      </w:r>
      <w:r w:rsidR="00631613">
        <w:t>to</w:t>
      </w:r>
      <w:r w:rsidR="004F16C6">
        <w:t xml:space="preserve"> be 0.00328 MT/kWh.</w:t>
      </w:r>
      <w:r w:rsidR="004B5DD3">
        <w:t xml:space="preserve">  </w:t>
      </w:r>
      <w:r w:rsidR="00065AC0" w:rsidRPr="00751E69">
        <w:t>While “</w:t>
      </w:r>
      <w:proofErr w:type="spellStart"/>
      <w:r w:rsidR="00065AC0" w:rsidRPr="00751E69">
        <w:t>islandable</w:t>
      </w:r>
      <w:proofErr w:type="spellEnd"/>
      <w:r w:rsidR="00065AC0" w:rsidRPr="00751E69">
        <w:t xml:space="preserve">” microgrids are present within the city boundaries, no usage </w:t>
      </w:r>
      <w:r w:rsidR="00065AC0">
        <w:t>or emissions specific to these systems were</w:t>
      </w:r>
      <w:r w:rsidR="00065AC0" w:rsidRPr="00751E69">
        <w:t xml:space="preserve"> defined for the baseline 2012 calendar year.</w:t>
      </w:r>
      <w:r w:rsidR="00065AC0">
        <w:t xml:space="preserve"> </w:t>
      </w:r>
      <w:r w:rsidR="00751E69">
        <w:t xml:space="preserve"> </w:t>
      </w:r>
    </w:p>
    <w:p w14:paraId="00F855F1" w14:textId="2AEE5F2B" w:rsidR="00751E69" w:rsidRDefault="00751E69" w:rsidP="00751E69">
      <w:pPr>
        <w:pStyle w:val="Caption"/>
        <w:rPr>
          <w:bCs w:val="0"/>
          <w:sz w:val="20"/>
          <w:szCs w:val="20"/>
        </w:rPr>
      </w:pPr>
      <w:bookmarkStart w:id="32" w:name="_Ref472345165"/>
      <w:r w:rsidRPr="00751E69">
        <w:rPr>
          <w:sz w:val="20"/>
          <w:szCs w:val="20"/>
        </w:rPr>
        <w:t xml:space="preserve">Table </w:t>
      </w:r>
      <w:r w:rsidRPr="00751E69">
        <w:rPr>
          <w:sz w:val="20"/>
          <w:szCs w:val="20"/>
        </w:rPr>
        <w:fldChar w:fldCharType="begin"/>
      </w:r>
      <w:r w:rsidRPr="00751E69">
        <w:rPr>
          <w:sz w:val="20"/>
          <w:szCs w:val="20"/>
        </w:rPr>
        <w:instrText xml:space="preserve"> SEQ Table \* ARABIC </w:instrText>
      </w:r>
      <w:r w:rsidRPr="00751E69">
        <w:rPr>
          <w:sz w:val="20"/>
          <w:szCs w:val="20"/>
        </w:rPr>
        <w:fldChar w:fldCharType="separate"/>
      </w:r>
      <w:r w:rsidR="00AD4785">
        <w:rPr>
          <w:noProof/>
          <w:sz w:val="20"/>
          <w:szCs w:val="20"/>
        </w:rPr>
        <w:t>2</w:t>
      </w:r>
      <w:r w:rsidRPr="00751E69">
        <w:rPr>
          <w:sz w:val="20"/>
          <w:szCs w:val="20"/>
        </w:rPr>
        <w:fldChar w:fldCharType="end"/>
      </w:r>
      <w:bookmarkEnd w:id="32"/>
      <w:r w:rsidRPr="00751E69">
        <w:rPr>
          <w:sz w:val="20"/>
          <w:szCs w:val="20"/>
        </w:rPr>
        <w:t xml:space="preserve">: </w:t>
      </w:r>
      <w:r w:rsidRPr="00751E69">
        <w:rPr>
          <w:bCs w:val="0"/>
          <w:sz w:val="20"/>
          <w:szCs w:val="20"/>
        </w:rPr>
        <w:t>ISO New England 2012 Electricity System Emission</w:t>
      </w:r>
      <w:r>
        <w:rPr>
          <w:bCs w:val="0"/>
          <w:sz w:val="20"/>
          <w:szCs w:val="20"/>
        </w:rPr>
        <w:t>s</w:t>
      </w:r>
      <w:r w:rsidRPr="00751E69">
        <w:rPr>
          <w:bCs w:val="0"/>
          <w:sz w:val="20"/>
          <w:szCs w:val="20"/>
        </w:rPr>
        <w:t xml:space="preserve"> Rate</w:t>
      </w:r>
    </w:p>
    <w:tbl>
      <w:tblPr>
        <w:tblStyle w:val="AlternatingRows3"/>
        <w:tblW w:w="9625" w:type="dxa"/>
        <w:tblLook w:val="04A0" w:firstRow="1" w:lastRow="0" w:firstColumn="1" w:lastColumn="0" w:noHBand="0" w:noVBand="1"/>
      </w:tblPr>
      <w:tblGrid>
        <w:gridCol w:w="3505"/>
        <w:gridCol w:w="3240"/>
        <w:gridCol w:w="2880"/>
      </w:tblGrid>
      <w:tr w:rsidR="004718E3" w:rsidRPr="005F76C3" w14:paraId="17644CB0" w14:textId="77777777" w:rsidTr="005F76C3">
        <w:trPr>
          <w:cnfStyle w:val="100000000000" w:firstRow="1" w:lastRow="0" w:firstColumn="0" w:lastColumn="0" w:oddVBand="0" w:evenVBand="0" w:oddHBand="0" w:evenHBand="0" w:firstRowFirstColumn="0" w:firstRowLastColumn="0" w:lastRowFirstColumn="0" w:lastRowLastColumn="0"/>
        </w:trPr>
        <w:tc>
          <w:tcPr>
            <w:tcW w:w="3505" w:type="dxa"/>
          </w:tcPr>
          <w:p w14:paraId="5972E359" w14:textId="263BDE3F" w:rsidR="004718E3" w:rsidRPr="005F76C3" w:rsidRDefault="004718E3" w:rsidP="004B5DD3">
            <w:pPr>
              <w:pStyle w:val="Caption"/>
              <w:spacing w:before="0" w:after="0"/>
              <w:rPr>
                <w:rFonts w:ascii="Times New Roman" w:hAnsi="Times New Roman" w:cs="Times New Roman"/>
                <w:bCs w:val="0"/>
                <w:sz w:val="20"/>
                <w:szCs w:val="20"/>
              </w:rPr>
            </w:pPr>
            <w:r w:rsidRPr="005F76C3">
              <w:rPr>
                <w:rFonts w:ascii="Times New Roman" w:hAnsi="Times New Roman" w:cs="Times New Roman"/>
                <w:bCs w:val="0"/>
                <w:sz w:val="20"/>
                <w:szCs w:val="20"/>
              </w:rPr>
              <w:t>Regional Transmission Organization</w:t>
            </w:r>
          </w:p>
        </w:tc>
        <w:tc>
          <w:tcPr>
            <w:tcW w:w="3240" w:type="dxa"/>
          </w:tcPr>
          <w:p w14:paraId="4F4C4B8B" w14:textId="77777777" w:rsidR="004B5DD3" w:rsidRPr="005F76C3" w:rsidRDefault="004718E3" w:rsidP="004B5DD3">
            <w:pPr>
              <w:pStyle w:val="Caption"/>
              <w:spacing w:before="0" w:after="0"/>
              <w:rPr>
                <w:rFonts w:ascii="Times New Roman" w:hAnsi="Times New Roman" w:cs="Times New Roman"/>
                <w:bCs w:val="0"/>
                <w:sz w:val="20"/>
                <w:szCs w:val="20"/>
              </w:rPr>
            </w:pPr>
            <w:r w:rsidRPr="005F76C3" w:rsidDel="000327A3">
              <w:rPr>
                <w:rFonts w:ascii="Times New Roman" w:hAnsi="Times New Roman" w:cs="Times New Roman"/>
                <w:bCs w:val="0"/>
                <w:sz w:val="20"/>
                <w:szCs w:val="20"/>
              </w:rPr>
              <w:t>CO</w:t>
            </w:r>
            <w:r w:rsidRPr="005F76C3" w:rsidDel="000327A3">
              <w:rPr>
                <w:rFonts w:ascii="Times New Roman" w:hAnsi="Times New Roman" w:cs="Times New Roman"/>
                <w:bCs w:val="0"/>
                <w:sz w:val="20"/>
                <w:szCs w:val="20"/>
                <w:vertAlign w:val="subscript"/>
              </w:rPr>
              <w:t>2</w:t>
            </w:r>
            <w:r w:rsidRPr="005F76C3">
              <w:rPr>
                <w:rFonts w:ascii="Times New Roman" w:hAnsi="Times New Roman" w:cs="Times New Roman"/>
                <w:bCs w:val="0"/>
                <w:sz w:val="20"/>
                <w:szCs w:val="20"/>
                <w:vertAlign w:val="subscript"/>
              </w:rPr>
              <w:t xml:space="preserve"> </w:t>
            </w:r>
            <w:r w:rsidRPr="005F76C3">
              <w:rPr>
                <w:rFonts w:ascii="Times New Roman" w:hAnsi="Times New Roman" w:cs="Times New Roman"/>
                <w:bCs w:val="0"/>
                <w:sz w:val="20"/>
                <w:szCs w:val="20"/>
              </w:rPr>
              <w:t>Emission Factor</w:t>
            </w:r>
          </w:p>
          <w:p w14:paraId="6D4CA3BD" w14:textId="533FBD41" w:rsidR="004718E3" w:rsidRPr="005F76C3" w:rsidRDefault="004718E3" w:rsidP="004B5DD3">
            <w:pPr>
              <w:pStyle w:val="Caption"/>
              <w:spacing w:before="0" w:after="0"/>
              <w:rPr>
                <w:rFonts w:ascii="Times New Roman" w:hAnsi="Times New Roman" w:cs="Times New Roman"/>
                <w:bCs w:val="0"/>
                <w:sz w:val="20"/>
                <w:szCs w:val="20"/>
              </w:rPr>
            </w:pPr>
            <w:r w:rsidRPr="005F76C3">
              <w:rPr>
                <w:rFonts w:ascii="Times New Roman" w:hAnsi="Times New Roman" w:cs="Times New Roman"/>
                <w:bCs w:val="0"/>
                <w:sz w:val="20"/>
                <w:szCs w:val="20"/>
              </w:rPr>
              <w:t xml:space="preserve"> (</w:t>
            </w:r>
            <w:proofErr w:type="spellStart"/>
            <w:r w:rsidRPr="005F76C3">
              <w:rPr>
                <w:rFonts w:ascii="Times New Roman" w:hAnsi="Times New Roman" w:cs="Times New Roman"/>
                <w:bCs w:val="0"/>
                <w:sz w:val="20"/>
                <w:szCs w:val="20"/>
              </w:rPr>
              <w:t>lbs</w:t>
            </w:r>
            <w:proofErr w:type="spellEnd"/>
            <w:r w:rsidRPr="005F76C3">
              <w:rPr>
                <w:rFonts w:ascii="Times New Roman" w:hAnsi="Times New Roman" w:cs="Times New Roman"/>
                <w:bCs w:val="0"/>
                <w:sz w:val="20"/>
                <w:szCs w:val="20"/>
              </w:rPr>
              <w:t xml:space="preserve"> CO2 / MWh)</w:t>
            </w:r>
          </w:p>
        </w:tc>
        <w:tc>
          <w:tcPr>
            <w:tcW w:w="2880" w:type="dxa"/>
          </w:tcPr>
          <w:p w14:paraId="2B8B36C8" w14:textId="77777777" w:rsidR="004B5DD3" w:rsidRPr="005F76C3" w:rsidRDefault="004718E3" w:rsidP="004B5DD3">
            <w:pPr>
              <w:pStyle w:val="Caption"/>
              <w:spacing w:before="0" w:after="0"/>
              <w:rPr>
                <w:rFonts w:ascii="Times New Roman" w:hAnsi="Times New Roman" w:cs="Times New Roman"/>
                <w:bCs w:val="0"/>
                <w:sz w:val="20"/>
                <w:szCs w:val="20"/>
              </w:rPr>
            </w:pPr>
            <w:r w:rsidRPr="005F76C3" w:rsidDel="000327A3">
              <w:rPr>
                <w:rFonts w:ascii="Times New Roman" w:hAnsi="Times New Roman" w:cs="Times New Roman"/>
                <w:bCs w:val="0"/>
                <w:sz w:val="20"/>
                <w:szCs w:val="20"/>
              </w:rPr>
              <w:t>CO</w:t>
            </w:r>
            <w:r w:rsidRPr="005F76C3" w:rsidDel="000327A3">
              <w:rPr>
                <w:rFonts w:ascii="Times New Roman" w:hAnsi="Times New Roman" w:cs="Times New Roman"/>
                <w:bCs w:val="0"/>
                <w:sz w:val="20"/>
                <w:szCs w:val="20"/>
                <w:vertAlign w:val="subscript"/>
              </w:rPr>
              <w:t>2</w:t>
            </w:r>
            <w:r w:rsidRPr="005F76C3">
              <w:rPr>
                <w:rFonts w:ascii="Times New Roman" w:hAnsi="Times New Roman" w:cs="Times New Roman"/>
                <w:bCs w:val="0"/>
                <w:sz w:val="20"/>
                <w:szCs w:val="20"/>
                <w:vertAlign w:val="subscript"/>
              </w:rPr>
              <w:t xml:space="preserve"> </w:t>
            </w:r>
            <w:r w:rsidRPr="005F76C3">
              <w:rPr>
                <w:rFonts w:ascii="Times New Roman" w:hAnsi="Times New Roman" w:cs="Times New Roman"/>
                <w:bCs w:val="0"/>
                <w:sz w:val="20"/>
                <w:szCs w:val="20"/>
              </w:rPr>
              <w:t xml:space="preserve">Emission Factor </w:t>
            </w:r>
          </w:p>
          <w:p w14:paraId="1F703165" w14:textId="6B90C2B9" w:rsidR="004718E3" w:rsidRPr="005F76C3" w:rsidRDefault="004718E3" w:rsidP="004B5DD3">
            <w:pPr>
              <w:pStyle w:val="Caption"/>
              <w:spacing w:before="0" w:after="0"/>
              <w:rPr>
                <w:rFonts w:ascii="Times New Roman" w:hAnsi="Times New Roman" w:cs="Times New Roman"/>
                <w:bCs w:val="0"/>
                <w:sz w:val="20"/>
                <w:szCs w:val="20"/>
              </w:rPr>
            </w:pPr>
            <w:r w:rsidRPr="005F76C3">
              <w:rPr>
                <w:rFonts w:ascii="Times New Roman" w:hAnsi="Times New Roman" w:cs="Times New Roman"/>
                <w:bCs w:val="0"/>
                <w:sz w:val="20"/>
                <w:szCs w:val="20"/>
              </w:rPr>
              <w:t>(MT CO2 / kWh)</w:t>
            </w:r>
          </w:p>
        </w:tc>
      </w:tr>
      <w:tr w:rsidR="004718E3" w:rsidRPr="005F76C3" w14:paraId="63353B68" w14:textId="77777777" w:rsidTr="005F76C3">
        <w:trPr>
          <w:cnfStyle w:val="000000100000" w:firstRow="0" w:lastRow="0" w:firstColumn="0" w:lastColumn="0" w:oddVBand="0" w:evenVBand="0" w:oddHBand="1" w:evenHBand="0" w:firstRowFirstColumn="0" w:firstRowLastColumn="0" w:lastRowFirstColumn="0" w:lastRowLastColumn="0"/>
        </w:trPr>
        <w:tc>
          <w:tcPr>
            <w:tcW w:w="3505" w:type="dxa"/>
          </w:tcPr>
          <w:p w14:paraId="40B2F275" w14:textId="61C9D3A7" w:rsidR="004718E3" w:rsidRPr="005F76C3" w:rsidRDefault="004718E3" w:rsidP="00A8011C">
            <w:pPr>
              <w:pStyle w:val="Caption"/>
              <w:rPr>
                <w:rFonts w:ascii="Times New Roman" w:hAnsi="Times New Roman" w:cs="Times New Roman"/>
                <w:b w:val="0"/>
                <w:bCs w:val="0"/>
                <w:sz w:val="20"/>
                <w:szCs w:val="20"/>
              </w:rPr>
            </w:pPr>
            <w:r w:rsidRPr="005F76C3">
              <w:rPr>
                <w:rFonts w:ascii="Times New Roman" w:hAnsi="Times New Roman" w:cs="Times New Roman"/>
                <w:b w:val="0"/>
                <w:sz w:val="20"/>
                <w:szCs w:val="20"/>
              </w:rPr>
              <w:t>ISO New England</w:t>
            </w:r>
          </w:p>
        </w:tc>
        <w:tc>
          <w:tcPr>
            <w:tcW w:w="3240" w:type="dxa"/>
          </w:tcPr>
          <w:p w14:paraId="1A7E7C09" w14:textId="7C7C0822" w:rsidR="004718E3" w:rsidRPr="005F76C3" w:rsidRDefault="004718E3" w:rsidP="00A8011C">
            <w:pPr>
              <w:pStyle w:val="Caption"/>
              <w:rPr>
                <w:rFonts w:ascii="Times New Roman" w:hAnsi="Times New Roman" w:cs="Times New Roman"/>
                <w:b w:val="0"/>
                <w:bCs w:val="0"/>
                <w:sz w:val="20"/>
                <w:szCs w:val="20"/>
              </w:rPr>
            </w:pPr>
            <w:r w:rsidRPr="005F76C3">
              <w:rPr>
                <w:rFonts w:ascii="Times New Roman" w:hAnsi="Times New Roman" w:cs="Times New Roman"/>
                <w:b w:val="0"/>
                <w:sz w:val="20"/>
                <w:szCs w:val="20"/>
              </w:rPr>
              <w:t>719</w:t>
            </w:r>
          </w:p>
        </w:tc>
        <w:tc>
          <w:tcPr>
            <w:tcW w:w="2880" w:type="dxa"/>
          </w:tcPr>
          <w:p w14:paraId="7DDEAB83" w14:textId="027B700B" w:rsidR="004718E3" w:rsidRPr="005F76C3" w:rsidRDefault="004718E3" w:rsidP="00A8011C">
            <w:pPr>
              <w:pStyle w:val="Caption"/>
              <w:rPr>
                <w:rFonts w:ascii="Times New Roman" w:hAnsi="Times New Roman" w:cs="Times New Roman"/>
                <w:b w:val="0"/>
                <w:bCs w:val="0"/>
                <w:sz w:val="20"/>
                <w:szCs w:val="20"/>
              </w:rPr>
            </w:pPr>
            <w:r w:rsidRPr="005F76C3">
              <w:rPr>
                <w:rFonts w:ascii="Times New Roman" w:hAnsi="Times New Roman" w:cs="Times New Roman"/>
                <w:b w:val="0"/>
                <w:bCs w:val="0"/>
                <w:sz w:val="20"/>
                <w:szCs w:val="20"/>
              </w:rPr>
              <w:t>0.00033</w:t>
            </w:r>
          </w:p>
        </w:tc>
      </w:tr>
    </w:tbl>
    <w:p w14:paraId="6467A045" w14:textId="77777777" w:rsidR="00A8011C" w:rsidRPr="00751E69" w:rsidRDefault="00A8011C" w:rsidP="00751E69">
      <w:pPr>
        <w:pStyle w:val="Caption"/>
        <w:rPr>
          <w:bCs w:val="0"/>
          <w:sz w:val="20"/>
          <w:szCs w:val="20"/>
        </w:rPr>
      </w:pPr>
    </w:p>
    <w:p w14:paraId="39D52A8C" w14:textId="77777777" w:rsidR="00BD1E96" w:rsidRDefault="00BD1E96" w:rsidP="00BD1E96"/>
    <w:p w14:paraId="2C73EBEC" w14:textId="5542B4D4" w:rsidR="00400152" w:rsidRDefault="00620427" w:rsidP="003147EA">
      <w:pPr>
        <w:pStyle w:val="Heading3"/>
        <w:tabs>
          <w:tab w:val="clear" w:pos="907"/>
          <w:tab w:val="num" w:pos="1080"/>
        </w:tabs>
        <w:spacing w:before="0" w:after="240"/>
        <w:ind w:left="1080" w:hanging="1080"/>
      </w:pPr>
      <w:bookmarkStart w:id="33" w:name="_Toc457892263"/>
      <w:r>
        <w:t>Stationary Energy – Natural Gas</w:t>
      </w:r>
      <w:bookmarkEnd w:id="33"/>
    </w:p>
    <w:p w14:paraId="69017F4E" w14:textId="6B7DFF9B" w:rsidR="00400152" w:rsidRDefault="003147EA" w:rsidP="003147EA">
      <w:pPr>
        <w:pStyle w:val="ParaText"/>
      </w:pPr>
      <w:r>
        <w:t xml:space="preserve">The primary </w:t>
      </w:r>
      <w:r w:rsidR="004F16C6">
        <w:t xml:space="preserve">uses for </w:t>
      </w:r>
      <w:r w:rsidR="00D5283A">
        <w:t xml:space="preserve">natural gas in the City of Cambridge </w:t>
      </w:r>
      <w:r w:rsidR="00EF505A">
        <w:t>are</w:t>
      </w:r>
      <w:r>
        <w:t xml:space="preserve"> </w:t>
      </w:r>
      <w:r w:rsidR="004F16C6">
        <w:t>for</w:t>
      </w:r>
      <w:r w:rsidR="00D5283A">
        <w:t xml:space="preserve"> space heating, water heating e</w:t>
      </w:r>
      <w:r>
        <w:t xml:space="preserve">quipment, and </w:t>
      </w:r>
      <w:r w:rsidR="007A4784">
        <w:t>co-generation stations.</w:t>
      </w:r>
      <w:r>
        <w:t xml:space="preserve"> </w:t>
      </w:r>
      <w:r w:rsidR="00575F06" w:rsidRPr="00A10EFE">
        <w:t>Th</w:t>
      </w:r>
      <w:r w:rsidR="00575F06">
        <w:t>e</w:t>
      </w:r>
      <w:r w:rsidR="00575F06" w:rsidRPr="00A10EFE">
        <w:t xml:space="preserve"> </w:t>
      </w:r>
      <w:r w:rsidR="00575F06">
        <w:t xml:space="preserve">emissions from </w:t>
      </w:r>
      <w:r w:rsidR="007A4784">
        <w:t>the co-generation</w:t>
      </w:r>
      <w:r w:rsidR="00575F06">
        <w:t xml:space="preserve"> </w:t>
      </w:r>
      <w:r w:rsidR="007A4784">
        <w:t xml:space="preserve">units </w:t>
      </w:r>
      <w:r w:rsidR="00575F06">
        <w:t>are</w:t>
      </w:r>
      <w:r w:rsidR="00575F06" w:rsidRPr="00A10EFE">
        <w:t xml:space="preserve"> attributed </w:t>
      </w:r>
      <w:r w:rsidR="00EF505A">
        <w:t xml:space="preserve">to </w:t>
      </w:r>
      <w:r w:rsidR="00575F06" w:rsidRPr="00A10EFE">
        <w:t>fuel burned</w:t>
      </w:r>
      <w:r w:rsidR="00575F06">
        <w:t xml:space="preserve"> for heat, steam and electricity generation. </w:t>
      </w:r>
      <w:r>
        <w:t>The emission</w:t>
      </w:r>
      <w:r w:rsidR="007A4784">
        <w:t>s</w:t>
      </w:r>
      <w:r>
        <w:t xml:space="preserve"> </w:t>
      </w:r>
      <w:r w:rsidR="007A4784">
        <w:t xml:space="preserve">from these </w:t>
      </w:r>
      <w:r>
        <w:t xml:space="preserve">sources are defined as </w:t>
      </w:r>
      <w:r w:rsidRPr="003147EA">
        <w:t xml:space="preserve">Scope 1 </w:t>
      </w:r>
      <w:r w:rsidR="00C1381E" w:rsidRPr="003147EA">
        <w:t>emissions</w:t>
      </w:r>
      <w:r w:rsidR="004F16C6">
        <w:t>, although e</w:t>
      </w:r>
      <w:r w:rsidR="004F16C6" w:rsidRPr="004F16C6">
        <w:t xml:space="preserve">missions from the Veolia Kendall cogeneration facility </w:t>
      </w:r>
      <w:r w:rsidR="008F392A">
        <w:t>are</w:t>
      </w:r>
      <w:r w:rsidR="004F16C6" w:rsidRPr="004F16C6">
        <w:t xml:space="preserve"> excluded </w:t>
      </w:r>
      <w:r w:rsidR="008F392A">
        <w:t xml:space="preserve">from the inventory </w:t>
      </w:r>
      <w:r w:rsidR="004F16C6" w:rsidRPr="004F16C6">
        <w:t xml:space="preserve">because the emissions from energy generators greater than 25 MW in capacity are included in the ISO New England emissions factors for electricity. Energy generation supplied to the grid is also not included in Basic/Basic + reporting </w:t>
      </w:r>
      <w:proofErr w:type="gramStart"/>
      <w:r w:rsidR="004F16C6" w:rsidRPr="004F16C6">
        <w:t>according to</w:t>
      </w:r>
      <w:proofErr w:type="gramEnd"/>
      <w:r w:rsidR="004F16C6" w:rsidRPr="004F16C6">
        <w:t xml:space="preserve"> the GPC.</w:t>
      </w:r>
    </w:p>
    <w:p w14:paraId="54617FF5" w14:textId="017EC811" w:rsidR="002F7809" w:rsidRDefault="008C4C97" w:rsidP="002F7809">
      <w:pPr>
        <w:pStyle w:val="ParaText"/>
      </w:pPr>
      <w:r>
        <w:t>As previously</w:t>
      </w:r>
      <w:r w:rsidR="002F7809">
        <w:t xml:space="preserve"> noted</w:t>
      </w:r>
      <w:r>
        <w:t>,</w:t>
      </w:r>
      <w:r w:rsidR="002F7809">
        <w:t xml:space="preserve"> </w:t>
      </w:r>
      <w:proofErr w:type="spellStart"/>
      <w:r w:rsidR="002F7809">
        <w:t>Eversource</w:t>
      </w:r>
      <w:proofErr w:type="spellEnd"/>
      <w:r w:rsidR="002F7809">
        <w:t xml:space="preserve"> maintains a list of Ledger Accounts</w:t>
      </w:r>
      <w:r w:rsidR="002B5C81">
        <w:t xml:space="preserve"> for both electricity and natural gas customers</w:t>
      </w:r>
      <w:r w:rsidR="002F7809">
        <w:t xml:space="preserve">. These accounts are associated with customers </w:t>
      </w:r>
      <w:r>
        <w:t>who request that their information be kept private</w:t>
      </w:r>
      <w:r w:rsidR="00B77FC9">
        <w:t xml:space="preserve"> and that typically</w:t>
      </w:r>
      <w:r w:rsidR="002F7809">
        <w:t xml:space="preserve"> use a large amount of energy </w:t>
      </w:r>
      <w:r w:rsidR="00B77FC9">
        <w:t>although that is not always the case</w:t>
      </w:r>
      <w:r w:rsidR="002F7809">
        <w:t>. For the 2012 community-wide inventory, we review</w:t>
      </w:r>
      <w:r w:rsidR="00B77FC9">
        <w:t>ed</w:t>
      </w:r>
      <w:r w:rsidR="002F7809">
        <w:t xml:space="preserve"> the Ledger Account list to confirm that emissions </w:t>
      </w:r>
      <w:r w:rsidR="00B77FC9">
        <w:t xml:space="preserve">and natural gas consumption </w:t>
      </w:r>
      <w:r w:rsidR="002F7809">
        <w:t>associated with the</w:t>
      </w:r>
      <w:r w:rsidR="00B77FC9">
        <w:t>se</w:t>
      </w:r>
      <w:r w:rsidR="002F7809">
        <w:t xml:space="preserve"> customers match the information reported to the U.S. EPA’s Large Facilities Database and are accounted for in the inventory. For future </w:t>
      </w:r>
      <w:r w:rsidR="00A01F37">
        <w:t xml:space="preserve">community-wide </w:t>
      </w:r>
      <w:r w:rsidR="002F7809">
        <w:t>inventories th</w:t>
      </w:r>
      <w:r w:rsidR="00FC7B56">
        <w:t xml:space="preserve">e </w:t>
      </w:r>
      <w:r w:rsidR="002F7809">
        <w:t xml:space="preserve">city should request that </w:t>
      </w:r>
      <w:proofErr w:type="spellStart"/>
      <w:r w:rsidR="002F7809">
        <w:t>Eversou</w:t>
      </w:r>
      <w:r w:rsidR="00631613">
        <w:t>r</w:t>
      </w:r>
      <w:r w:rsidR="002F7809">
        <w:t>ce</w:t>
      </w:r>
      <w:proofErr w:type="spellEnd"/>
      <w:r w:rsidR="002F7809">
        <w:t xml:space="preserve"> confirm the total consumption associated with these Ledger Accounts </w:t>
      </w:r>
      <w:r w:rsidR="00A02002">
        <w:t xml:space="preserve">and </w:t>
      </w:r>
      <w:proofErr w:type="gramStart"/>
      <w:r w:rsidR="008B79F6">
        <w:t>whether or not</w:t>
      </w:r>
      <w:proofErr w:type="gramEnd"/>
      <w:r w:rsidR="008B79F6">
        <w:t xml:space="preserve"> </w:t>
      </w:r>
      <w:r w:rsidR="00A02002">
        <w:t xml:space="preserve">these accounts are in the general customer database used for the inventory. </w:t>
      </w:r>
    </w:p>
    <w:p w14:paraId="2F2A332D" w14:textId="5BC3CD2D" w:rsidR="003147EA" w:rsidRDefault="00400152" w:rsidP="003147EA">
      <w:pPr>
        <w:pStyle w:val="ParaText"/>
      </w:pPr>
      <w:r>
        <w:t>The approach</w:t>
      </w:r>
      <w:r w:rsidR="00EF505A">
        <w:t>es</w:t>
      </w:r>
      <w:r>
        <w:t xml:space="preserve"> to estimating the emissions from natural gas consumption in the buildings sectors and by </w:t>
      </w:r>
      <w:r w:rsidR="007A4784">
        <w:t>the co-</w:t>
      </w:r>
      <w:r>
        <w:t xml:space="preserve">generation plants </w:t>
      </w:r>
      <w:r w:rsidR="00EF505A">
        <w:t>are</w:t>
      </w:r>
      <w:r>
        <w:t xml:space="preserve"> summarized separately </w:t>
      </w:r>
      <w:r w:rsidR="008B79F6">
        <w:t>below</w:t>
      </w:r>
      <w:r>
        <w:t xml:space="preserve"> because </w:t>
      </w:r>
      <w:r w:rsidR="008B79F6">
        <w:t xml:space="preserve">of the </w:t>
      </w:r>
      <w:r w:rsidR="00EF505A">
        <w:t xml:space="preserve">different approaches </w:t>
      </w:r>
      <w:r>
        <w:t xml:space="preserve">used for each. </w:t>
      </w:r>
    </w:p>
    <w:p w14:paraId="59B68458" w14:textId="50A1EF4B" w:rsidR="003147EA" w:rsidRDefault="003147EA" w:rsidP="003147EA">
      <w:pPr>
        <w:pStyle w:val="ParaText"/>
        <w:rPr>
          <w:b/>
          <w:bCs/>
        </w:rPr>
      </w:pPr>
      <w:r w:rsidRPr="00A10EFE">
        <w:rPr>
          <w:b/>
          <w:bCs/>
        </w:rPr>
        <w:t>Data Summary</w:t>
      </w:r>
    </w:p>
    <w:p w14:paraId="6F65FC11" w14:textId="265BBC5A" w:rsidR="008F56A3" w:rsidRPr="008F56A3" w:rsidRDefault="008F56A3" w:rsidP="003147EA">
      <w:pPr>
        <w:pStyle w:val="ParaText"/>
        <w:rPr>
          <w:i/>
        </w:rPr>
      </w:pPr>
      <w:r w:rsidRPr="008F56A3">
        <w:rPr>
          <w:b/>
          <w:bCs/>
          <w:i/>
        </w:rPr>
        <w:lastRenderedPageBreak/>
        <w:t>Building Sector</w:t>
      </w:r>
    </w:p>
    <w:p w14:paraId="4D31D0B0" w14:textId="4561B561" w:rsidR="006F7A61" w:rsidRDefault="00400152" w:rsidP="00400A14">
      <w:pPr>
        <w:pStyle w:val="ParaText"/>
      </w:pPr>
      <w:r w:rsidRPr="009104CE">
        <w:t xml:space="preserve">Grid-supplied </w:t>
      </w:r>
      <w:r>
        <w:t>natural gas</w:t>
      </w:r>
      <w:r w:rsidRPr="009104CE">
        <w:t xml:space="preserve"> is provided throughout the city and </w:t>
      </w:r>
      <w:r w:rsidR="00575F06">
        <w:t>is primarily used by</w:t>
      </w:r>
      <w:r w:rsidRPr="009104CE">
        <w:t xml:space="preserve"> the residential, com</w:t>
      </w:r>
      <w:r w:rsidR="00575F06">
        <w:t xml:space="preserve">mercial, and industrial sectors for heat and hot water production. </w:t>
      </w:r>
      <w:r w:rsidR="00575F06" w:rsidRPr="009104CE">
        <w:t xml:space="preserve">The City of Cambridge </w:t>
      </w:r>
      <w:r w:rsidR="00DE00AF">
        <w:t xml:space="preserve">also </w:t>
      </w:r>
      <w:r w:rsidR="00575F06" w:rsidRPr="009104CE">
        <w:t>has a single provider</w:t>
      </w:r>
      <w:r w:rsidR="00575F06">
        <w:t xml:space="preserve"> for natural gas</w:t>
      </w:r>
      <w:r w:rsidR="00575F06" w:rsidRPr="009104CE">
        <w:t xml:space="preserve">, </w:t>
      </w:r>
      <w:proofErr w:type="spellStart"/>
      <w:r w:rsidR="00575F06" w:rsidRPr="009104CE">
        <w:t>Eversource</w:t>
      </w:r>
      <w:proofErr w:type="spellEnd"/>
      <w:r w:rsidR="00575F06">
        <w:t xml:space="preserve">. </w:t>
      </w:r>
      <w:r w:rsidRPr="009104CE">
        <w:t xml:space="preserve"> </w:t>
      </w:r>
      <w:r w:rsidR="00575F06" w:rsidRPr="009104CE">
        <w:t xml:space="preserve">As such, </w:t>
      </w:r>
      <w:proofErr w:type="spellStart"/>
      <w:r w:rsidR="00575F06" w:rsidRPr="009104CE">
        <w:t>Eversource</w:t>
      </w:r>
      <w:proofErr w:type="spellEnd"/>
      <w:r w:rsidR="00575F06" w:rsidRPr="009104CE">
        <w:t xml:space="preserve"> </w:t>
      </w:r>
      <w:r w:rsidR="00575F06">
        <w:t>was</w:t>
      </w:r>
      <w:r w:rsidR="00575F06" w:rsidRPr="009104CE">
        <w:t xml:space="preserve"> the </w:t>
      </w:r>
      <w:r w:rsidR="00575F06">
        <w:t xml:space="preserve">primary </w:t>
      </w:r>
      <w:r w:rsidR="00575F06" w:rsidRPr="009104CE">
        <w:t xml:space="preserve">source </w:t>
      </w:r>
      <w:r w:rsidR="00575F06">
        <w:t>of information for natural gas c</w:t>
      </w:r>
      <w:r w:rsidR="00575F06" w:rsidRPr="009104CE">
        <w:t xml:space="preserve">onsumption in the city. </w:t>
      </w:r>
      <w:r w:rsidR="00575F06">
        <w:t>Metered</w:t>
      </w:r>
      <w:r w:rsidR="00575F06" w:rsidRPr="00A10EFE">
        <w:t xml:space="preserve"> data </w:t>
      </w:r>
      <w:r w:rsidR="00575F06">
        <w:t xml:space="preserve">was </w:t>
      </w:r>
      <w:r w:rsidR="00575F06" w:rsidRPr="00A10EFE">
        <w:t xml:space="preserve">used </w:t>
      </w:r>
      <w:r w:rsidR="00575F06">
        <w:t xml:space="preserve">as the source of the annual </w:t>
      </w:r>
      <w:proofErr w:type="spellStart"/>
      <w:r w:rsidR="00575F06">
        <w:t>therm</w:t>
      </w:r>
      <w:proofErr w:type="spellEnd"/>
      <w:r w:rsidR="00575F06">
        <w:t xml:space="preserve"> </w:t>
      </w:r>
      <w:r w:rsidR="00575F06" w:rsidRPr="00A10EFE">
        <w:t>consumption</w:t>
      </w:r>
      <w:r w:rsidR="00575F06">
        <w:t xml:space="preserve"> for each building sector. </w:t>
      </w:r>
    </w:p>
    <w:p w14:paraId="1702C182" w14:textId="27E1F0C2" w:rsidR="00400152" w:rsidRDefault="006F7A61" w:rsidP="00400A14">
      <w:pPr>
        <w:pStyle w:val="ParaText"/>
      </w:pPr>
      <w:r>
        <w:t xml:space="preserve">In addition to the Building Sector natural gas usage, the GPC also requires the losses from distribution systems be accounted for. </w:t>
      </w:r>
      <w:r w:rsidR="006C44D3">
        <w:t xml:space="preserve">Based on an assessment of several studies that have been done </w:t>
      </w:r>
      <w:proofErr w:type="gramStart"/>
      <w:r w:rsidR="006C44D3">
        <w:t>on the subject of gas</w:t>
      </w:r>
      <w:proofErr w:type="gramEnd"/>
      <w:r w:rsidR="006C44D3">
        <w:t xml:space="preserve"> leakage from the distribution system network in and around the Boston, we determined that an average leakage rate of </w:t>
      </w:r>
      <w:r w:rsidR="006C44D3" w:rsidRPr="0034228D">
        <w:t>0.6%</w:t>
      </w:r>
      <w:r w:rsidR="006C44D3">
        <w:t xml:space="preserve"> was appropriate for the inventory</w:t>
      </w:r>
      <w:r w:rsidR="007A4784">
        <w:t xml:space="preserve"> (see </w:t>
      </w:r>
      <w:hyperlink r:id="rId11" w:history="1">
        <w:r w:rsidR="007A4784">
          <w:rPr>
            <w:rStyle w:val="Hyperlink"/>
          </w:rPr>
          <w:t>PNAS Article</w:t>
        </w:r>
      </w:hyperlink>
      <w:r w:rsidR="007A4784">
        <w:t>)</w:t>
      </w:r>
      <w:r w:rsidR="006C44D3">
        <w:t xml:space="preserve">. </w:t>
      </w:r>
      <w:proofErr w:type="gramStart"/>
      <w:r w:rsidR="0034228D">
        <w:t>According to</w:t>
      </w:r>
      <w:proofErr w:type="gramEnd"/>
      <w:r w:rsidR="0034228D">
        <w:t xml:space="preserve"> the Harvard study </w:t>
      </w:r>
      <w:r w:rsidR="0034228D" w:rsidRPr="0034228D">
        <w:t>Methane emission and N</w:t>
      </w:r>
      <w:r w:rsidR="0034228D">
        <w:t xml:space="preserve">atural </w:t>
      </w:r>
      <w:r w:rsidR="0034228D" w:rsidRPr="0034228D">
        <w:t>G</w:t>
      </w:r>
      <w:r w:rsidR="0034228D">
        <w:t>as</w:t>
      </w:r>
      <w:r w:rsidR="0034228D" w:rsidRPr="0034228D">
        <w:t xml:space="preserve"> delivery data reported to both the US Environmental Protection Agency and Massachusetts GHG Reporting Programs show loss rates of 0.4–1.6% among individual distribution companies in Massachusetts in 2012 and 2013, with an average of 0.6%, weighted by delivered </w:t>
      </w:r>
      <w:r w:rsidR="0034228D">
        <w:t xml:space="preserve">natural gas volumes </w:t>
      </w:r>
      <w:sdt>
        <w:sdtPr>
          <w:id w:val="590661100"/>
          <w:citation/>
        </w:sdtPr>
        <w:sdtContent>
          <w:r w:rsidR="00226E4C" w:rsidRPr="00226E4C">
            <w:fldChar w:fldCharType="begin"/>
          </w:r>
          <w:r w:rsidR="00226E4C" w:rsidRPr="00226E4C">
            <w:instrText xml:space="preserve"> CITATION Kat15 \l 1033 </w:instrText>
          </w:r>
          <w:r w:rsidR="00226E4C" w:rsidRPr="00226E4C">
            <w:fldChar w:fldCharType="separate"/>
          </w:r>
          <w:r w:rsidR="00631613">
            <w:rPr>
              <w:noProof/>
            </w:rPr>
            <w:t>(Kathryn McKain, 2015)</w:t>
          </w:r>
          <w:r w:rsidR="00226E4C" w:rsidRPr="00226E4C">
            <w:fldChar w:fldCharType="end"/>
          </w:r>
        </w:sdtContent>
      </w:sdt>
      <w:r w:rsidR="0034228D">
        <w:t>.</w:t>
      </w:r>
      <w:r w:rsidR="0034228D" w:rsidDel="008F392A">
        <w:t xml:space="preserve"> </w:t>
      </w:r>
    </w:p>
    <w:p w14:paraId="2737BD01" w14:textId="77777777" w:rsidR="00DC1D22" w:rsidRPr="00C8101E" w:rsidRDefault="00DC1D22" w:rsidP="00DC1D22">
      <w:pPr>
        <w:pStyle w:val="ParaText"/>
        <w:rPr>
          <w:i/>
        </w:rPr>
      </w:pPr>
      <w:r w:rsidRPr="00C8101E">
        <w:rPr>
          <w:b/>
          <w:bCs/>
          <w:i/>
        </w:rPr>
        <w:t>Co-generation Systems</w:t>
      </w:r>
    </w:p>
    <w:p w14:paraId="205A9247" w14:textId="77777777" w:rsidR="00DC1D22" w:rsidRDefault="00DC1D22" w:rsidP="00DC1D22">
      <w:pPr>
        <w:pStyle w:val="ParaText"/>
      </w:pPr>
      <w:r>
        <w:t>As mentioned, there are four large electricity and steam generation facilities located in Cambridge that were assessed as part of this inventory: The Kendall Cogeneration Station, the MIT Central Utilities Plant, the Harvard University Blackstone Plant, and the Biogen IDEC plant.</w:t>
      </w:r>
    </w:p>
    <w:p w14:paraId="4DAA6923" w14:textId="77777777" w:rsidR="00DC1D22" w:rsidRDefault="00DC1D22" w:rsidP="00DC1D22">
      <w:pPr>
        <w:pStyle w:val="ParaText"/>
      </w:pPr>
      <w:r>
        <w:t>Consumption and emissions d</w:t>
      </w:r>
      <w:r w:rsidRPr="00085DA0">
        <w:t xml:space="preserve">ata </w:t>
      </w:r>
      <w:r>
        <w:t>for these facilities were gathered from publicly available reports provided on the U.S. EPA’s</w:t>
      </w:r>
      <w:r w:rsidRPr="00085DA0">
        <w:t xml:space="preserve"> Greenhouse Gas Reporting Program</w:t>
      </w:r>
      <w:r>
        <w:t xml:space="preserve"> website (</w:t>
      </w:r>
      <w:hyperlink r:id="rId12" w:history="1">
        <w:r w:rsidRPr="00372C77">
          <w:rPr>
            <w:rStyle w:val="Hyperlink"/>
          </w:rPr>
          <w:t>https://ghgdata.epa.gov/ghgp/main.do#</w:t>
        </w:r>
      </w:hyperlink>
      <w:r>
        <w:t xml:space="preserve">). These facilities are required to report biogenic CO2 emissions and CO2 emissions excluding biogenic CO2 separately. </w:t>
      </w:r>
    </w:p>
    <w:p w14:paraId="1D903829" w14:textId="77777777" w:rsidR="00DC1D22" w:rsidRDefault="00DC1D22" w:rsidP="00DC1D22">
      <w:pPr>
        <w:pStyle w:val="ParaText"/>
      </w:pPr>
      <w:r>
        <w:t>The Kendall Cogeneration Station is a 256MW steam and electricity energy plant. The primary gas turbine produces electricity and high pressure steam. This steam is recycled to power secondary steam turbines to generate additional power.</w:t>
      </w:r>
      <w:r w:rsidRPr="00055B5C">
        <w:t xml:space="preserve"> </w:t>
      </w:r>
      <w:r>
        <w:t>For the 2012 emissions inventory, all emissions are allocated to Cambridge.</w:t>
      </w:r>
      <w:r w:rsidRPr="007F0A16">
        <w:t xml:space="preserve"> </w:t>
      </w:r>
      <w:r>
        <w:t xml:space="preserve">In 2013, a pipeline was completed for the remaining low pressure steam waste to be integrated into </w:t>
      </w:r>
      <w:r w:rsidRPr="00055B5C">
        <w:t xml:space="preserve">Veolia's district energy </w:t>
      </w:r>
      <w:r>
        <w:t xml:space="preserve">system in Boston. For future inventories, it is suggested that the natural gas consumption associated with this plant be split between Cambridge and Boston based on the amount of steam provided to each city. </w:t>
      </w:r>
    </w:p>
    <w:p w14:paraId="40C74B92" w14:textId="2A7CF7FD" w:rsidR="00DC1D22" w:rsidRDefault="00DC1D22" w:rsidP="00DC1D22">
      <w:pPr>
        <w:pStyle w:val="ParaText"/>
      </w:pPr>
      <w:r>
        <w:t xml:space="preserve">Harvard University manages the Blackstone Steam Plant. This plant uses four dual-fuel boilers operating primarily on natural gas. They have a service area covering a substantial portion of Harvard's campuses extending from Harvard Yard, the Law School and Divinity School in the North campus, along the River </w:t>
      </w:r>
      <w:r>
        <w:lastRenderedPageBreak/>
        <w:t>Houses, across the river to the Harvard Kennedy School, and Athletics and One Western Avenue in Allston. The boilers generate up to 5.7MW of electricity through it’s back-pressure turbine system. While steam is used on proper</w:t>
      </w:r>
      <w:r w:rsidR="00DE00AF">
        <w:t>ties in Boston, the CHP plant is</w:t>
      </w:r>
      <w:r>
        <w:t xml:space="preserve"> located within Cambridge’s boundaries, and therefore has been included in whole to this inventory. A CHP unit was added to the Blackstone plant in 2013 with an 8 MW turbine generator. While not included in the 2012 inventory, the additional capacity was i</w:t>
      </w:r>
      <w:r w:rsidRPr="0051206E">
        <w:t xml:space="preserve">ncluded in </w:t>
      </w:r>
      <w:r>
        <w:t>City’s emissions forecast</w:t>
      </w:r>
      <w:r w:rsidRPr="0051206E">
        <w:t>.</w:t>
      </w:r>
    </w:p>
    <w:p w14:paraId="38AAEF3D" w14:textId="77777777" w:rsidR="00DC1D22" w:rsidRDefault="00DC1D22" w:rsidP="00DC1D22">
      <w:pPr>
        <w:pStyle w:val="ParaText"/>
      </w:pPr>
      <w:r>
        <w:t xml:space="preserve">MIT’s Central Utilities Plant is a 21-megawatt natural gas turbine used to produce both electric and thermal energy for the campus. The heat recovery steam generator captures waste heat from turbine exhaust, and the captured steam is used for heating and cooling (via chillers driven by steam turbines). Emissions from this plant that were reported to the U.S. EPA were included in the 2012 inventory. </w:t>
      </w:r>
    </w:p>
    <w:p w14:paraId="10A8D0C7" w14:textId="77777777" w:rsidR="00DC1D22" w:rsidRDefault="00DC1D22" w:rsidP="00DC1D22">
      <w:pPr>
        <w:pStyle w:val="ParaText"/>
      </w:pPr>
      <w:r>
        <w:t xml:space="preserve">The </w:t>
      </w:r>
      <w:proofErr w:type="spellStart"/>
      <w:r>
        <w:t>BioGen</w:t>
      </w:r>
      <w:proofErr w:type="spellEnd"/>
      <w:r>
        <w:t xml:space="preserve"> IDEC facility is a 5.3MW natural gas turbine with a heat recovery steam generator (HRSG). This system operates in parallel with the electric utility. Emissions from this plant that were reported to the U.S. EPA were also included in the 2012 inventory.</w:t>
      </w:r>
    </w:p>
    <w:p w14:paraId="375E1F10" w14:textId="1E48A523" w:rsidR="00DC1D22" w:rsidRDefault="00DC1D22" w:rsidP="00DC1D22">
      <w:pPr>
        <w:pStyle w:val="ParaText"/>
      </w:pPr>
      <w:r>
        <w:t xml:space="preserve">Data used for the </w:t>
      </w:r>
      <w:r w:rsidRPr="002332A0">
        <w:t xml:space="preserve">year 2012 </w:t>
      </w:r>
      <w:r>
        <w:t xml:space="preserve">in the ISO NE electricity emission factor includes </w:t>
      </w:r>
      <w:r w:rsidRPr="002332A0">
        <w:t xml:space="preserve">units </w:t>
      </w:r>
      <w:r>
        <w:t xml:space="preserve">that are </w:t>
      </w:r>
      <w:r w:rsidRPr="002332A0">
        <w:t xml:space="preserve">least 25 MW </w:t>
      </w:r>
      <w:r>
        <w:t>in capacity.</w:t>
      </w:r>
      <w:r w:rsidRPr="000A47ED">
        <w:rPr>
          <w:rStyle w:val="FootnoteReference"/>
          <w:sz w:val="18"/>
          <w:szCs w:val="18"/>
        </w:rPr>
        <w:footnoteReference w:id="5"/>
      </w:r>
      <w:r>
        <w:t xml:space="preserve">  To avoid double counting, the Kendall Co-generation Station should only be included in the Scope 1 territorial emissions. </w:t>
      </w:r>
      <w:r w:rsidR="00DE00AF">
        <w:t>Only the e</w:t>
      </w:r>
      <w:r>
        <w:t xml:space="preserve">missions from the other </w:t>
      </w:r>
      <w:r w:rsidR="00DE00AF">
        <w:t xml:space="preserve">three </w:t>
      </w:r>
      <w:r>
        <w:t>plants were included for GPC Basic reporting.</w:t>
      </w:r>
    </w:p>
    <w:p w14:paraId="23ABECD1" w14:textId="6B28BC55" w:rsidR="007A4784" w:rsidRDefault="007A4784" w:rsidP="008F56A3">
      <w:pPr>
        <w:pStyle w:val="ParaText"/>
        <w:rPr>
          <w:b/>
          <w:bCs/>
        </w:rPr>
      </w:pPr>
      <w:r w:rsidRPr="00400A14">
        <w:rPr>
          <w:b/>
          <w:bCs/>
        </w:rPr>
        <w:t xml:space="preserve">GPC </w:t>
      </w:r>
      <w:r w:rsidRPr="008F56A3">
        <w:rPr>
          <w:b/>
          <w:bCs/>
        </w:rPr>
        <w:t xml:space="preserve">Quantification </w:t>
      </w:r>
      <w:r w:rsidRPr="00400A14">
        <w:rPr>
          <w:b/>
          <w:bCs/>
        </w:rPr>
        <w:t>Method Used</w:t>
      </w:r>
    </w:p>
    <w:p w14:paraId="14CDECD6" w14:textId="61B90146" w:rsidR="008F56A3" w:rsidRPr="008F56A3" w:rsidRDefault="008F56A3" w:rsidP="00C8101E">
      <w:pPr>
        <w:pStyle w:val="ParaText"/>
        <w:rPr>
          <w:b/>
          <w:bCs/>
          <w:i/>
        </w:rPr>
      </w:pPr>
      <w:r w:rsidRPr="008F56A3">
        <w:rPr>
          <w:b/>
          <w:bCs/>
          <w:i/>
        </w:rPr>
        <w:t>Buildings Sector</w:t>
      </w:r>
    </w:p>
    <w:p w14:paraId="79EAE04B" w14:textId="58102BD1" w:rsidR="005A358F" w:rsidRDefault="005A358F" w:rsidP="005A358F">
      <w:pPr>
        <w:pStyle w:val="ParaText"/>
      </w:pPr>
      <w:r>
        <w:t xml:space="preserve">In </w:t>
      </w:r>
      <w:r w:rsidRPr="009104CE">
        <w:t>accordance with Section 6.</w:t>
      </w:r>
      <w:r>
        <w:t>3</w:t>
      </w:r>
      <w:r w:rsidRPr="009104CE">
        <w:t xml:space="preserve"> of the GPC, </w:t>
      </w:r>
      <w:r w:rsidR="00DE00AF">
        <w:t>r</w:t>
      </w:r>
      <w:r>
        <w:t>eal consumption data for each fuel type, disaggregated by sector was used for the inventory. R</w:t>
      </w:r>
      <w:r w:rsidRPr="009104CE">
        <w:t>eport</w:t>
      </w:r>
      <w:r>
        <w:t>ed</w:t>
      </w:r>
      <w:r w:rsidRPr="009104CE">
        <w:t xml:space="preserve"> emissions </w:t>
      </w:r>
      <w:r>
        <w:t>from</w:t>
      </w:r>
      <w:r w:rsidRPr="009104CE">
        <w:t xml:space="preserve"> </w:t>
      </w:r>
      <w:r>
        <w:t xml:space="preserve">the usage of natural gas </w:t>
      </w:r>
      <w:r w:rsidRPr="009104CE">
        <w:t>within the city’s boundaries</w:t>
      </w:r>
      <w:r w:rsidRPr="00BD1E96">
        <w:t xml:space="preserve"> </w:t>
      </w:r>
      <w:r>
        <w:t xml:space="preserve">were reported as Scope 1 emissions. </w:t>
      </w:r>
    </w:p>
    <w:p w14:paraId="548EEFDD" w14:textId="67A78D2E" w:rsidR="00387592" w:rsidRPr="00C8101E" w:rsidRDefault="000A7DD7" w:rsidP="005A358F">
      <w:pPr>
        <w:pStyle w:val="ParaText"/>
        <w:rPr>
          <w:sz w:val="20"/>
          <w:szCs w:val="20"/>
        </w:rPr>
      </w:pPr>
      <w:r>
        <w:t xml:space="preserve">Because </w:t>
      </w:r>
      <w:proofErr w:type="spellStart"/>
      <w:r w:rsidRPr="000A7DD7">
        <w:t>Eversource</w:t>
      </w:r>
      <w:proofErr w:type="spellEnd"/>
      <w:r w:rsidRPr="000A7DD7">
        <w:t xml:space="preserve">-specific emission factors for natural gas </w:t>
      </w:r>
      <w:r>
        <w:t>emissions were not available, a</w:t>
      </w:r>
      <w:r w:rsidRPr="000A7DD7">
        <w:t xml:space="preserve"> universal emission factor </w:t>
      </w:r>
      <w:r w:rsidR="00387592">
        <w:t>provide</w:t>
      </w:r>
      <w:r w:rsidR="00DE00AF">
        <w:t>d</w:t>
      </w:r>
      <w:r w:rsidR="00387592">
        <w:t xml:space="preserve"> by the Climate Registry</w:t>
      </w:r>
      <w:r w:rsidR="00387592" w:rsidRPr="000A47ED">
        <w:rPr>
          <w:rStyle w:val="FootnoteReference"/>
          <w:sz w:val="18"/>
          <w:szCs w:val="18"/>
        </w:rPr>
        <w:footnoteReference w:id="6"/>
      </w:r>
      <w:r w:rsidR="00387592">
        <w:t xml:space="preserve"> </w:t>
      </w:r>
      <w:r w:rsidRPr="000A7DD7">
        <w:t>was used to calculate natural gas emissions.</w:t>
      </w:r>
      <w:r>
        <w:t xml:space="preserve"> T</w:t>
      </w:r>
      <w:r w:rsidR="005A358F">
        <w:t xml:space="preserve">he emissions factor used for </w:t>
      </w:r>
      <w:r>
        <w:t>natural gas consumption i</w:t>
      </w:r>
      <w:r w:rsidR="005A358F">
        <w:t xml:space="preserve">s </w:t>
      </w:r>
      <w:r w:rsidR="005A358F" w:rsidRPr="00751E69">
        <w:t>provided in</w:t>
      </w:r>
      <w:r>
        <w:t xml:space="preserve"> </w:t>
      </w:r>
      <w:r w:rsidRPr="000A7DD7">
        <w:fldChar w:fldCharType="begin"/>
      </w:r>
      <w:r w:rsidRPr="000A7DD7">
        <w:instrText xml:space="preserve"> REF _Ref477341631 \h </w:instrText>
      </w:r>
      <w:r>
        <w:instrText xml:space="preserve"> \* MERGEFORMAT </w:instrText>
      </w:r>
      <w:r w:rsidRPr="000A7DD7">
        <w:fldChar w:fldCharType="separate"/>
      </w:r>
      <w:r w:rsidR="00631613" w:rsidRPr="00751E69">
        <w:rPr>
          <w:noProof/>
          <w:sz w:val="20"/>
          <w:szCs w:val="20"/>
        </w:rPr>
        <w:t>Table</w:t>
      </w:r>
      <w:r w:rsidR="00631613" w:rsidRPr="00751E69">
        <w:rPr>
          <w:sz w:val="20"/>
          <w:szCs w:val="20"/>
        </w:rPr>
        <w:t xml:space="preserve"> </w:t>
      </w:r>
      <w:r w:rsidR="00631613">
        <w:rPr>
          <w:noProof/>
          <w:sz w:val="20"/>
          <w:szCs w:val="20"/>
        </w:rPr>
        <w:t>3</w:t>
      </w:r>
      <w:r w:rsidRPr="000A7DD7">
        <w:fldChar w:fldCharType="end"/>
      </w:r>
      <w:r w:rsidR="005A358F">
        <w:t xml:space="preserve">. </w:t>
      </w:r>
    </w:p>
    <w:p w14:paraId="6AE4A5E6" w14:textId="4515CC94" w:rsidR="00387592" w:rsidRDefault="005A358F" w:rsidP="005A358F">
      <w:pPr>
        <w:pStyle w:val="ParaText"/>
      </w:pPr>
      <w:r>
        <w:lastRenderedPageBreak/>
        <w:t xml:space="preserve">In addition, methane (CH4) emissions </w:t>
      </w:r>
      <w:r w:rsidR="00387592">
        <w:t>associated with distribution systems leakage</w:t>
      </w:r>
      <w:r>
        <w:t xml:space="preserve"> also need</w:t>
      </w:r>
      <w:r w:rsidR="00DE00AF">
        <w:t>s</w:t>
      </w:r>
      <w:r>
        <w:t xml:space="preserve"> to be </w:t>
      </w:r>
      <w:proofErr w:type="gramStart"/>
      <w:r>
        <w:t>taken into account</w:t>
      </w:r>
      <w:proofErr w:type="gramEnd"/>
      <w:r w:rsidR="00387592">
        <w:t xml:space="preserve"> in the inventory. </w:t>
      </w:r>
      <w:r w:rsidR="00B2549B">
        <w:t>T</w:t>
      </w:r>
      <w:r>
        <w:t>he total CO2 equivalent (CO2e) emissions factor</w:t>
      </w:r>
      <w:r w:rsidR="00387592">
        <w:t xml:space="preserve"> for fugitive emissions </w:t>
      </w:r>
      <w:r w:rsidR="00B2549B">
        <w:t>from natural gas leakage was determined based on</w:t>
      </w:r>
      <w:r w:rsidR="00387592">
        <w:t>:</w:t>
      </w:r>
    </w:p>
    <w:p w14:paraId="4DE8BBDD" w14:textId="1B6F54EE" w:rsidR="00B2549B" w:rsidRDefault="00B2549B" w:rsidP="009E34E4">
      <w:pPr>
        <w:pStyle w:val="ParaText"/>
        <w:numPr>
          <w:ilvl w:val="0"/>
          <w:numId w:val="14"/>
        </w:numPr>
      </w:pPr>
      <w:r>
        <w:t xml:space="preserve">Volume of natural gas per heat energy (m3 gas / </w:t>
      </w:r>
      <w:proofErr w:type="spellStart"/>
      <w:r>
        <w:t>therm</w:t>
      </w:r>
      <w:proofErr w:type="spellEnd"/>
      <w:r>
        <w:t xml:space="preserve"> gas)</w:t>
      </w:r>
    </w:p>
    <w:p w14:paraId="6E06D9A2" w14:textId="26905F29" w:rsidR="00387592" w:rsidRDefault="00B2549B" w:rsidP="009E34E4">
      <w:pPr>
        <w:pStyle w:val="ParaText"/>
        <w:numPr>
          <w:ilvl w:val="0"/>
          <w:numId w:val="14"/>
        </w:numPr>
      </w:pPr>
      <w:r>
        <w:t>A</w:t>
      </w:r>
      <w:r w:rsidR="00387592">
        <w:t xml:space="preserve"> density value of natural gas</w:t>
      </w:r>
      <w:r>
        <w:t xml:space="preserve"> of 0.7 kg/m3 based on values provided in</w:t>
      </w:r>
      <w:r w:rsidR="00387592">
        <w:t xml:space="preserve"> the GHG Protocol stationary combustion tool</w:t>
      </w:r>
      <w:r>
        <w:t>.</w:t>
      </w:r>
    </w:p>
    <w:p w14:paraId="3B1DC117" w14:textId="44F3EEFF" w:rsidR="00B2549B" w:rsidRDefault="00B2549B" w:rsidP="009E34E4">
      <w:pPr>
        <w:pStyle w:val="ParaText"/>
        <w:numPr>
          <w:ilvl w:val="0"/>
          <w:numId w:val="14"/>
        </w:numPr>
      </w:pPr>
      <w:r>
        <w:t xml:space="preserve">The IPCC Tier 1 default for the mass fraction of methane in delivered natural gas (93.4%). </w:t>
      </w:r>
    </w:p>
    <w:p w14:paraId="0DDF2913" w14:textId="7E68492E" w:rsidR="00B2549B" w:rsidRDefault="00B2549B" w:rsidP="009E34E4">
      <w:pPr>
        <w:pStyle w:val="ParaText"/>
        <w:numPr>
          <w:ilvl w:val="0"/>
          <w:numId w:val="14"/>
        </w:numPr>
      </w:pPr>
      <w:r>
        <w:t>A carbon dioxide content of 1.0% in the delivered natural gas.</w:t>
      </w:r>
    </w:p>
    <w:p w14:paraId="667D9B3D" w14:textId="1EE599FA" w:rsidR="00387592" w:rsidRDefault="009E34E4" w:rsidP="009E34E4">
      <w:pPr>
        <w:pStyle w:val="ParaText"/>
      </w:pPr>
      <w:r>
        <w:t>The o</w:t>
      </w:r>
      <w:r w:rsidR="00387592">
        <w:t xml:space="preserve">verall emissions factor </w:t>
      </w:r>
      <w:r>
        <w:t>was then calculated to be 0.04628 MT CO2e/leaked therm.</w:t>
      </w:r>
    </w:p>
    <w:p w14:paraId="4923A039" w14:textId="15996E2D" w:rsidR="005A358F" w:rsidRPr="008D07FE" w:rsidRDefault="005A358F" w:rsidP="00DC1D22">
      <w:pPr>
        <w:spacing w:after="200" w:line="276" w:lineRule="auto"/>
        <w:rPr>
          <w:rFonts w:ascii="Arial" w:hAnsi="Arial" w:cs="Arial"/>
          <w:b/>
          <w:bCs/>
          <w:sz w:val="20"/>
          <w:szCs w:val="20"/>
          <w:lang w:val="en-US"/>
        </w:rPr>
      </w:pPr>
      <w:bookmarkStart w:id="34" w:name="_Ref477341631"/>
      <w:r w:rsidRPr="008D07FE">
        <w:rPr>
          <w:rFonts w:ascii="Arial" w:hAnsi="Arial" w:cs="Arial"/>
          <w:b/>
          <w:sz w:val="20"/>
          <w:szCs w:val="20"/>
        </w:rPr>
        <w:t xml:space="preserve">Table </w:t>
      </w:r>
      <w:r w:rsidRPr="008D07FE">
        <w:rPr>
          <w:rFonts w:ascii="Arial" w:hAnsi="Arial" w:cs="Arial"/>
          <w:b/>
          <w:sz w:val="20"/>
          <w:szCs w:val="20"/>
        </w:rPr>
        <w:fldChar w:fldCharType="begin"/>
      </w:r>
      <w:r w:rsidRPr="008D07FE">
        <w:rPr>
          <w:rFonts w:ascii="Arial" w:hAnsi="Arial" w:cs="Arial"/>
          <w:b/>
          <w:sz w:val="20"/>
          <w:szCs w:val="20"/>
        </w:rPr>
        <w:instrText xml:space="preserve"> SEQ Table \* ARABIC </w:instrText>
      </w:r>
      <w:r w:rsidRPr="008D07FE">
        <w:rPr>
          <w:rFonts w:ascii="Arial" w:hAnsi="Arial" w:cs="Arial"/>
          <w:b/>
          <w:sz w:val="20"/>
          <w:szCs w:val="20"/>
        </w:rPr>
        <w:fldChar w:fldCharType="separate"/>
      </w:r>
      <w:r w:rsidR="00AD4785">
        <w:rPr>
          <w:rFonts w:ascii="Arial" w:hAnsi="Arial" w:cs="Arial"/>
          <w:b/>
          <w:noProof/>
          <w:sz w:val="20"/>
          <w:szCs w:val="20"/>
        </w:rPr>
        <w:t>3</w:t>
      </w:r>
      <w:r w:rsidRPr="008D07FE">
        <w:rPr>
          <w:rFonts w:ascii="Arial" w:hAnsi="Arial" w:cs="Arial"/>
          <w:b/>
          <w:sz w:val="20"/>
          <w:szCs w:val="20"/>
        </w:rPr>
        <w:fldChar w:fldCharType="end"/>
      </w:r>
      <w:bookmarkEnd w:id="34"/>
      <w:r w:rsidRPr="008D07FE">
        <w:rPr>
          <w:rFonts w:ascii="Arial" w:hAnsi="Arial" w:cs="Arial"/>
          <w:b/>
          <w:sz w:val="20"/>
          <w:szCs w:val="20"/>
        </w:rPr>
        <w:t xml:space="preserve">: </w:t>
      </w:r>
      <w:r w:rsidR="00387592" w:rsidRPr="008D07FE">
        <w:rPr>
          <w:rFonts w:ascii="Arial" w:hAnsi="Arial" w:cs="Arial"/>
          <w:b/>
          <w:sz w:val="20"/>
          <w:szCs w:val="20"/>
        </w:rPr>
        <w:t>Natural Gas Consumption</w:t>
      </w:r>
      <w:r w:rsidRPr="008D07FE">
        <w:rPr>
          <w:rFonts w:ascii="Arial" w:hAnsi="Arial" w:cs="Arial"/>
          <w:b/>
          <w:sz w:val="20"/>
          <w:szCs w:val="20"/>
        </w:rPr>
        <w:t xml:space="preserve"> Emissions Rate</w:t>
      </w:r>
    </w:p>
    <w:tbl>
      <w:tblPr>
        <w:tblStyle w:val="AlternatingRows3"/>
        <w:tblW w:w="9625" w:type="dxa"/>
        <w:tblLook w:val="04A0" w:firstRow="1" w:lastRow="0" w:firstColumn="1" w:lastColumn="0" w:noHBand="0" w:noVBand="1"/>
      </w:tblPr>
      <w:tblGrid>
        <w:gridCol w:w="3505"/>
        <w:gridCol w:w="3240"/>
        <w:gridCol w:w="2880"/>
      </w:tblGrid>
      <w:tr w:rsidR="005A358F" w:rsidRPr="005F76C3" w14:paraId="3A9FB6F5" w14:textId="77777777" w:rsidTr="005F76C3">
        <w:trPr>
          <w:cnfStyle w:val="100000000000" w:firstRow="1" w:lastRow="0" w:firstColumn="0" w:lastColumn="0" w:oddVBand="0" w:evenVBand="0" w:oddHBand="0" w:evenHBand="0" w:firstRowFirstColumn="0" w:firstRowLastColumn="0" w:lastRowFirstColumn="0" w:lastRowLastColumn="0"/>
        </w:trPr>
        <w:tc>
          <w:tcPr>
            <w:tcW w:w="3505" w:type="dxa"/>
          </w:tcPr>
          <w:p w14:paraId="76C6787B" w14:textId="31511F39" w:rsidR="005A358F" w:rsidRPr="005F76C3" w:rsidRDefault="000A7DD7" w:rsidP="005F76C3">
            <w:pPr>
              <w:pStyle w:val="ParaText"/>
              <w:rPr>
                <w:bCs/>
                <w:sz w:val="20"/>
                <w:szCs w:val="20"/>
              </w:rPr>
            </w:pPr>
            <w:r w:rsidRPr="005F76C3">
              <w:rPr>
                <w:sz w:val="20"/>
                <w:szCs w:val="20"/>
              </w:rPr>
              <w:t>Type of Emission</w:t>
            </w:r>
          </w:p>
        </w:tc>
        <w:tc>
          <w:tcPr>
            <w:tcW w:w="3240" w:type="dxa"/>
          </w:tcPr>
          <w:p w14:paraId="3708F55B" w14:textId="77777777" w:rsidR="005A358F" w:rsidRPr="005F76C3" w:rsidRDefault="005A358F" w:rsidP="005F76C3">
            <w:pPr>
              <w:pStyle w:val="ParaText"/>
              <w:spacing w:after="0"/>
              <w:rPr>
                <w:bCs/>
                <w:sz w:val="20"/>
                <w:szCs w:val="20"/>
              </w:rPr>
            </w:pPr>
            <w:r w:rsidRPr="005F76C3" w:rsidDel="000327A3">
              <w:rPr>
                <w:sz w:val="20"/>
                <w:szCs w:val="20"/>
              </w:rPr>
              <w:t>CO</w:t>
            </w:r>
            <w:r w:rsidRPr="005F76C3" w:rsidDel="000327A3">
              <w:rPr>
                <w:sz w:val="20"/>
                <w:szCs w:val="20"/>
                <w:vertAlign w:val="subscript"/>
              </w:rPr>
              <w:t>2</w:t>
            </w:r>
            <w:r w:rsidRPr="005F76C3">
              <w:rPr>
                <w:sz w:val="20"/>
                <w:szCs w:val="20"/>
                <w:vertAlign w:val="subscript"/>
              </w:rPr>
              <w:t xml:space="preserve"> </w:t>
            </w:r>
            <w:r w:rsidRPr="005F76C3">
              <w:rPr>
                <w:sz w:val="20"/>
                <w:szCs w:val="20"/>
              </w:rPr>
              <w:t>Emission Factor</w:t>
            </w:r>
          </w:p>
          <w:p w14:paraId="6DB96279" w14:textId="43DB4209" w:rsidR="005A358F" w:rsidRPr="005F76C3" w:rsidRDefault="005A358F" w:rsidP="005F76C3">
            <w:pPr>
              <w:pStyle w:val="ParaText"/>
              <w:spacing w:after="0"/>
              <w:rPr>
                <w:bCs/>
                <w:sz w:val="20"/>
                <w:szCs w:val="20"/>
              </w:rPr>
            </w:pPr>
            <w:r w:rsidRPr="005F76C3">
              <w:rPr>
                <w:sz w:val="20"/>
                <w:szCs w:val="20"/>
              </w:rPr>
              <w:t xml:space="preserve"> (</w:t>
            </w:r>
            <w:r w:rsidR="000A7DD7" w:rsidRPr="005F76C3">
              <w:rPr>
                <w:sz w:val="20"/>
                <w:szCs w:val="20"/>
              </w:rPr>
              <w:t>kg</w:t>
            </w:r>
            <w:r w:rsidRPr="005F76C3">
              <w:rPr>
                <w:sz w:val="20"/>
                <w:szCs w:val="20"/>
              </w:rPr>
              <w:t xml:space="preserve"> CO2 / </w:t>
            </w:r>
            <w:r w:rsidR="000A7DD7" w:rsidRPr="005F76C3">
              <w:rPr>
                <w:sz w:val="20"/>
                <w:szCs w:val="20"/>
              </w:rPr>
              <w:t>MMBtu</w:t>
            </w:r>
            <w:r w:rsidRPr="005F76C3">
              <w:rPr>
                <w:sz w:val="20"/>
                <w:szCs w:val="20"/>
              </w:rPr>
              <w:t>)</w:t>
            </w:r>
          </w:p>
        </w:tc>
        <w:tc>
          <w:tcPr>
            <w:tcW w:w="2880" w:type="dxa"/>
          </w:tcPr>
          <w:p w14:paraId="7C03A18E" w14:textId="77777777" w:rsidR="005A358F" w:rsidRPr="005F76C3" w:rsidRDefault="005A358F" w:rsidP="005F76C3">
            <w:pPr>
              <w:pStyle w:val="ParaText"/>
              <w:spacing w:after="0"/>
              <w:rPr>
                <w:bCs/>
                <w:sz w:val="20"/>
                <w:szCs w:val="20"/>
              </w:rPr>
            </w:pPr>
            <w:r w:rsidRPr="005F76C3" w:rsidDel="000327A3">
              <w:rPr>
                <w:sz w:val="20"/>
                <w:szCs w:val="20"/>
              </w:rPr>
              <w:t>CO</w:t>
            </w:r>
            <w:r w:rsidRPr="005F76C3" w:rsidDel="000327A3">
              <w:rPr>
                <w:sz w:val="20"/>
                <w:szCs w:val="20"/>
                <w:vertAlign w:val="subscript"/>
              </w:rPr>
              <w:t>2</w:t>
            </w:r>
            <w:r w:rsidRPr="005F76C3">
              <w:rPr>
                <w:sz w:val="20"/>
                <w:szCs w:val="20"/>
                <w:vertAlign w:val="subscript"/>
              </w:rPr>
              <w:t xml:space="preserve"> </w:t>
            </w:r>
            <w:r w:rsidRPr="005F76C3">
              <w:rPr>
                <w:sz w:val="20"/>
                <w:szCs w:val="20"/>
              </w:rPr>
              <w:t xml:space="preserve">Emission Factor </w:t>
            </w:r>
          </w:p>
          <w:p w14:paraId="3259D07A" w14:textId="73287FEC" w:rsidR="005A358F" w:rsidRPr="005F76C3" w:rsidRDefault="005A358F" w:rsidP="005F76C3">
            <w:pPr>
              <w:pStyle w:val="ParaText"/>
              <w:spacing w:after="0"/>
              <w:rPr>
                <w:bCs/>
                <w:sz w:val="20"/>
                <w:szCs w:val="20"/>
              </w:rPr>
            </w:pPr>
            <w:r w:rsidRPr="005F76C3">
              <w:rPr>
                <w:sz w:val="20"/>
                <w:szCs w:val="20"/>
              </w:rPr>
              <w:t xml:space="preserve">(MT CO2 / </w:t>
            </w:r>
            <w:proofErr w:type="spellStart"/>
            <w:r w:rsidR="000A7DD7" w:rsidRPr="005F76C3">
              <w:rPr>
                <w:sz w:val="20"/>
                <w:szCs w:val="20"/>
              </w:rPr>
              <w:t>Therm</w:t>
            </w:r>
            <w:proofErr w:type="spellEnd"/>
            <w:r w:rsidRPr="005F76C3">
              <w:rPr>
                <w:sz w:val="20"/>
                <w:szCs w:val="20"/>
              </w:rPr>
              <w:t>)</w:t>
            </w:r>
          </w:p>
        </w:tc>
      </w:tr>
      <w:tr w:rsidR="005A358F" w:rsidRPr="005F76C3" w14:paraId="173918CA" w14:textId="77777777" w:rsidTr="005F76C3">
        <w:trPr>
          <w:cnfStyle w:val="000000100000" w:firstRow="0" w:lastRow="0" w:firstColumn="0" w:lastColumn="0" w:oddVBand="0" w:evenVBand="0" w:oddHBand="1" w:evenHBand="0" w:firstRowFirstColumn="0" w:firstRowLastColumn="0" w:lastRowFirstColumn="0" w:lastRowLastColumn="0"/>
        </w:trPr>
        <w:tc>
          <w:tcPr>
            <w:tcW w:w="3505" w:type="dxa"/>
          </w:tcPr>
          <w:p w14:paraId="1C3A984B" w14:textId="08B96609" w:rsidR="005A358F" w:rsidRPr="005F76C3" w:rsidRDefault="000A7DD7" w:rsidP="005F76C3">
            <w:pPr>
              <w:pStyle w:val="ParaText"/>
              <w:rPr>
                <w:bCs/>
                <w:sz w:val="20"/>
                <w:szCs w:val="20"/>
              </w:rPr>
            </w:pPr>
            <w:r w:rsidRPr="005F76C3">
              <w:rPr>
                <w:sz w:val="20"/>
                <w:szCs w:val="20"/>
              </w:rPr>
              <w:t>Natural Gas Consumption</w:t>
            </w:r>
          </w:p>
        </w:tc>
        <w:tc>
          <w:tcPr>
            <w:tcW w:w="3240" w:type="dxa"/>
          </w:tcPr>
          <w:p w14:paraId="0EF12D12" w14:textId="1B6F7348" w:rsidR="005A358F" w:rsidRPr="005F76C3" w:rsidRDefault="000A7DD7" w:rsidP="005F76C3">
            <w:pPr>
              <w:pStyle w:val="ParaText"/>
              <w:rPr>
                <w:bCs/>
                <w:sz w:val="20"/>
                <w:szCs w:val="20"/>
              </w:rPr>
            </w:pPr>
            <w:r w:rsidRPr="005F76C3">
              <w:rPr>
                <w:sz w:val="20"/>
                <w:szCs w:val="20"/>
              </w:rPr>
              <w:t>53.06</w:t>
            </w:r>
          </w:p>
        </w:tc>
        <w:tc>
          <w:tcPr>
            <w:tcW w:w="2880" w:type="dxa"/>
          </w:tcPr>
          <w:p w14:paraId="555ACB61" w14:textId="7218F21C" w:rsidR="005A358F" w:rsidRPr="005F76C3" w:rsidRDefault="005A358F" w:rsidP="005F76C3">
            <w:pPr>
              <w:pStyle w:val="ParaText"/>
              <w:rPr>
                <w:bCs/>
                <w:sz w:val="20"/>
                <w:szCs w:val="20"/>
              </w:rPr>
            </w:pPr>
            <w:r w:rsidRPr="005F76C3">
              <w:rPr>
                <w:sz w:val="20"/>
                <w:szCs w:val="20"/>
              </w:rPr>
              <w:t>0.00</w:t>
            </w:r>
            <w:r w:rsidR="000A7DD7" w:rsidRPr="005F76C3">
              <w:rPr>
                <w:sz w:val="20"/>
                <w:szCs w:val="20"/>
              </w:rPr>
              <w:t>53</w:t>
            </w:r>
          </w:p>
        </w:tc>
      </w:tr>
    </w:tbl>
    <w:p w14:paraId="2AE2D8AE" w14:textId="586E9FB7" w:rsidR="007A4784" w:rsidRDefault="000A7DD7" w:rsidP="00085DA0">
      <w:pPr>
        <w:pStyle w:val="ParaText"/>
      </w:pPr>
      <w:r>
        <w:t xml:space="preserve">*Note </w:t>
      </w:r>
      <w:r w:rsidRPr="000A7DD7">
        <w:t xml:space="preserve">CH4 or N2O </w:t>
      </w:r>
      <w:r w:rsidR="00387592">
        <w:t xml:space="preserve">are not included </w:t>
      </w:r>
      <w:r w:rsidRPr="000A7DD7">
        <w:t xml:space="preserve">because these emissions </w:t>
      </w:r>
      <w:proofErr w:type="gramStart"/>
      <w:r w:rsidRPr="000A7DD7">
        <w:t>are considered to be</w:t>
      </w:r>
      <w:proofErr w:type="gramEnd"/>
      <w:r w:rsidRPr="000A7DD7">
        <w:t xml:space="preserve"> de </w:t>
      </w:r>
      <w:proofErr w:type="spellStart"/>
      <w:r w:rsidRPr="000A7DD7">
        <w:t>minimis</w:t>
      </w:r>
      <w:proofErr w:type="spellEnd"/>
    </w:p>
    <w:p w14:paraId="450BF94E" w14:textId="0B3ACDB6" w:rsidR="00C8101E" w:rsidRPr="00C8101E" w:rsidRDefault="00C8101E" w:rsidP="00C8101E">
      <w:pPr>
        <w:pStyle w:val="ParaText"/>
        <w:rPr>
          <w:b/>
          <w:bCs/>
          <w:i/>
        </w:rPr>
      </w:pPr>
      <w:r>
        <w:rPr>
          <w:b/>
          <w:bCs/>
          <w:i/>
        </w:rPr>
        <w:t>Co-generation Systems</w:t>
      </w:r>
    </w:p>
    <w:p w14:paraId="6B2A16D6" w14:textId="7ABFDF5F" w:rsidR="00720293" w:rsidRPr="00400A14" w:rsidRDefault="00400A14" w:rsidP="001415EA">
      <w:pPr>
        <w:pStyle w:val="ParaText"/>
      </w:pPr>
      <w:r w:rsidRPr="00400A14">
        <w:t xml:space="preserve">In accordance with Section 6.3 of the GPC, the </w:t>
      </w:r>
      <w:r w:rsidR="004C603C">
        <w:t xml:space="preserve">community-wide inventory for the </w:t>
      </w:r>
      <w:r w:rsidRPr="00400A14">
        <w:t xml:space="preserve">City of Cambridge </w:t>
      </w:r>
      <w:r w:rsidR="004C603C">
        <w:t>u</w:t>
      </w:r>
      <w:r w:rsidRPr="00400A14">
        <w:t>se</w:t>
      </w:r>
      <w:r w:rsidR="004C603C">
        <w:t>d</w:t>
      </w:r>
      <w:r w:rsidRPr="00400A14">
        <w:t xml:space="preserve"> the </w:t>
      </w:r>
      <w:r w:rsidR="009E34E4">
        <w:t>R</w:t>
      </w:r>
      <w:r w:rsidRPr="00400A14">
        <w:t>eal-consumption data, disaggregated by sub-sector</w:t>
      </w:r>
      <w:r w:rsidR="009E34E4">
        <w:t xml:space="preserve"> approach</w:t>
      </w:r>
      <w:r w:rsidRPr="00400A14">
        <w:t>.</w:t>
      </w:r>
      <w:r w:rsidR="002E101E">
        <w:rPr>
          <w:b/>
          <w:bCs/>
        </w:rPr>
        <w:t xml:space="preserve"> </w:t>
      </w:r>
      <w:r w:rsidRPr="00D0329D">
        <w:t xml:space="preserve">The </w:t>
      </w:r>
      <w:r w:rsidR="009E34E4">
        <w:t>emissions associated with these facilities are taken directly from the EPA reports</w:t>
      </w:r>
      <w:r w:rsidR="002E101E">
        <w:t xml:space="preserve"> which are submitted by large facilities </w:t>
      </w:r>
      <w:r w:rsidR="001415EA">
        <w:t>and use standard emissions calculation methodologies</w:t>
      </w:r>
      <w:r w:rsidR="009E34E4">
        <w:t xml:space="preserve">. </w:t>
      </w:r>
      <w:r w:rsidR="001415EA">
        <w:t xml:space="preserve">Facilities generally have some flexibility in choosing which calculation method to use and their methods may change from year to year </w:t>
      </w:r>
      <w:proofErr w:type="gramStart"/>
      <w:r w:rsidR="001415EA">
        <w:t>as long as</w:t>
      </w:r>
      <w:proofErr w:type="gramEnd"/>
      <w:r w:rsidR="001415EA">
        <w:t xml:space="preserve"> the still meet the requirements of the U.S. EPA’s Greenhouse Gas Reporting Program.  </w:t>
      </w:r>
    </w:p>
    <w:p w14:paraId="39FB8021" w14:textId="46617AC3" w:rsidR="00620427" w:rsidRDefault="00620427" w:rsidP="00620427">
      <w:pPr>
        <w:pStyle w:val="Heading3"/>
        <w:tabs>
          <w:tab w:val="clear" w:pos="907"/>
          <w:tab w:val="num" w:pos="1080"/>
        </w:tabs>
        <w:spacing w:before="0" w:after="240"/>
        <w:ind w:left="1080" w:hanging="1080"/>
      </w:pPr>
      <w:bookmarkStart w:id="35" w:name="_Toc457892264"/>
      <w:r>
        <w:t>Stationary Energy – Fuel Oil</w:t>
      </w:r>
      <w:bookmarkEnd w:id="35"/>
    </w:p>
    <w:p w14:paraId="2CFA25B4" w14:textId="5B1D339E" w:rsidR="00B93E86" w:rsidRDefault="00DE00AF" w:rsidP="00B93E86">
      <w:pPr>
        <w:pStyle w:val="ParaText"/>
      </w:pPr>
      <w:r>
        <w:rPr>
          <w:lang w:val="en-GB"/>
        </w:rPr>
        <w:t xml:space="preserve">The </w:t>
      </w:r>
      <w:r w:rsidR="00E63A6B">
        <w:rPr>
          <w:lang w:val="en-GB"/>
        </w:rPr>
        <w:t xml:space="preserve">baseline for energy-use in </w:t>
      </w:r>
      <w:r w:rsidR="00E04252">
        <w:rPr>
          <w:lang w:val="en-GB"/>
        </w:rPr>
        <w:t xml:space="preserve">Cambridge </w:t>
      </w:r>
      <w:r w:rsidR="00E04252" w:rsidRPr="00E04252">
        <w:rPr>
          <w:lang w:val="en-GB"/>
        </w:rPr>
        <w:t>for the residential, commercial and industrial sectors in Massachusetts communities</w:t>
      </w:r>
      <w:r w:rsidR="00E04252">
        <w:rPr>
          <w:lang w:val="en-GB"/>
        </w:rPr>
        <w:t xml:space="preserve"> includes fuel oil</w:t>
      </w:r>
      <w:r w:rsidR="009774FB">
        <w:rPr>
          <w:lang w:val="en-GB"/>
        </w:rPr>
        <w:t xml:space="preserve"> consumption as well</w:t>
      </w:r>
      <w:r w:rsidR="00E04252">
        <w:rPr>
          <w:lang w:val="en-GB"/>
        </w:rPr>
        <w:t>.</w:t>
      </w:r>
      <w:r w:rsidR="0016687D">
        <w:rPr>
          <w:lang w:val="en-GB"/>
        </w:rPr>
        <w:t xml:space="preserve"> While electricity and natural gas heating are limited to specific municipal suppliers, fuel oil is supplied by </w:t>
      </w:r>
      <w:r w:rsidR="009774FB">
        <w:rPr>
          <w:lang w:val="en-GB"/>
        </w:rPr>
        <w:t>many different</w:t>
      </w:r>
      <w:r w:rsidR="0016687D">
        <w:rPr>
          <w:lang w:val="en-GB"/>
        </w:rPr>
        <w:t xml:space="preserve"> private companies</w:t>
      </w:r>
      <w:r w:rsidR="009774FB">
        <w:rPr>
          <w:lang w:val="en-GB"/>
        </w:rPr>
        <w:t>. Because customer data cannot be collected f</w:t>
      </w:r>
      <w:r w:rsidR="0089556C">
        <w:rPr>
          <w:lang w:val="en-GB"/>
        </w:rPr>
        <w:t>r</w:t>
      </w:r>
      <w:r w:rsidR="009774FB">
        <w:rPr>
          <w:lang w:val="en-GB"/>
        </w:rPr>
        <w:t>om each sup</w:t>
      </w:r>
      <w:r w:rsidR="0089556C">
        <w:rPr>
          <w:lang w:val="en-GB"/>
        </w:rPr>
        <w:t>p</w:t>
      </w:r>
      <w:r w:rsidR="009774FB">
        <w:rPr>
          <w:lang w:val="en-GB"/>
        </w:rPr>
        <w:t>l</w:t>
      </w:r>
      <w:r w:rsidR="0089556C">
        <w:rPr>
          <w:lang w:val="en-GB"/>
        </w:rPr>
        <w:t>ier</w:t>
      </w:r>
      <w:r w:rsidR="0016687D">
        <w:rPr>
          <w:lang w:val="en-GB"/>
        </w:rPr>
        <w:t>, consumption must be estimated using community-specific assumptions</w:t>
      </w:r>
      <w:r w:rsidR="00CB3721">
        <w:rPr>
          <w:lang w:val="en-GB"/>
        </w:rPr>
        <w:t xml:space="preserve">. </w:t>
      </w:r>
      <w:r w:rsidR="00CB3721">
        <w:t>Any limited f</w:t>
      </w:r>
      <w:r w:rsidR="00B93E86">
        <w:t xml:space="preserve">uel oil usage </w:t>
      </w:r>
      <w:r w:rsidR="00CB3721">
        <w:t>by</w:t>
      </w:r>
      <w:r w:rsidR="00B93E86">
        <w:t xml:space="preserve"> the Kendall Station, Blackstone plant, and MIT CUP </w:t>
      </w:r>
      <w:r w:rsidR="00CB3721">
        <w:t xml:space="preserve">is accounted for in the U.S. EPA Greenhouse Gas </w:t>
      </w:r>
      <w:r w:rsidR="00FB05C1">
        <w:t>R</w:t>
      </w:r>
      <w:r w:rsidR="00CB3721">
        <w:t xml:space="preserve">eporting Systems reports. </w:t>
      </w:r>
      <w:r w:rsidR="00B93E86">
        <w:t xml:space="preserve"> </w:t>
      </w:r>
    </w:p>
    <w:p w14:paraId="1545242E" w14:textId="4146603D" w:rsidR="00E04252" w:rsidRDefault="00B93E86" w:rsidP="00E04252">
      <w:pPr>
        <w:pStyle w:val="ParaText"/>
        <w:rPr>
          <w:b/>
          <w:bCs/>
        </w:rPr>
      </w:pPr>
      <w:r>
        <w:rPr>
          <w:b/>
          <w:bCs/>
        </w:rPr>
        <w:lastRenderedPageBreak/>
        <w:t>Data Summary</w:t>
      </w:r>
    </w:p>
    <w:p w14:paraId="4EBE8C6F" w14:textId="2E2359B8" w:rsidR="001E1FF9" w:rsidRDefault="00FB05C1" w:rsidP="009C104D">
      <w:pPr>
        <w:pStyle w:val="ParaText"/>
      </w:pPr>
      <w:r w:rsidRPr="00FB05C1">
        <w:t xml:space="preserve">For the Cambridge </w:t>
      </w:r>
      <w:r w:rsidR="00E63A6B">
        <w:t>community-wide i</w:t>
      </w:r>
      <w:r w:rsidRPr="00FB05C1">
        <w:t xml:space="preserve">nventory, </w:t>
      </w:r>
      <w:r>
        <w:t>r</w:t>
      </w:r>
      <w:r w:rsidR="001E1FF9" w:rsidRPr="00FB05C1">
        <w:t>esidential</w:t>
      </w:r>
      <w:r w:rsidR="001E1FF9">
        <w:t xml:space="preserve"> </w:t>
      </w:r>
      <w:r>
        <w:t xml:space="preserve">oil usage </w:t>
      </w:r>
      <w:r w:rsidR="001E1FF9">
        <w:t xml:space="preserve">data </w:t>
      </w:r>
      <w:r>
        <w:t xml:space="preserve">was based on </w:t>
      </w:r>
      <w:r w:rsidR="001E1FF9">
        <w:t xml:space="preserve">the </w:t>
      </w:r>
      <w:r w:rsidR="001E1FF9" w:rsidRPr="001E1FF9">
        <w:t>number of housing units</w:t>
      </w:r>
      <w:r w:rsidR="001E1FF9">
        <w:t xml:space="preserve"> </w:t>
      </w:r>
      <w:r>
        <w:t xml:space="preserve">in Cambridge </w:t>
      </w:r>
      <w:r w:rsidR="001E1FF9">
        <w:t xml:space="preserve">by type, and a percentage of </w:t>
      </w:r>
      <w:r w:rsidR="001E1FF9" w:rsidRPr="001E1FF9">
        <w:t xml:space="preserve">units </w:t>
      </w:r>
      <w:r w:rsidR="001E1FF9">
        <w:t xml:space="preserve">determined to be </w:t>
      </w:r>
      <w:r w:rsidR="001E1FF9" w:rsidRPr="001E1FF9">
        <w:t>heat</w:t>
      </w:r>
      <w:r w:rsidR="001E1FF9">
        <w:t>ed</w:t>
      </w:r>
      <w:r w:rsidR="001E1FF9" w:rsidRPr="001E1FF9">
        <w:t xml:space="preserve"> with </w:t>
      </w:r>
      <w:r w:rsidR="001E1FF9">
        <w:t xml:space="preserve">fuel oil from the “American Community Survey (ACS) 2010-2014 5-Year Community Estimate.” The property types identified </w:t>
      </w:r>
      <w:r>
        <w:t>we</w:t>
      </w:r>
      <w:r w:rsidR="009C104D">
        <w:t>re</w:t>
      </w:r>
      <w:r w:rsidR="001E1FF9">
        <w:t>:</w:t>
      </w:r>
    </w:p>
    <w:p w14:paraId="378E1DD6" w14:textId="6D7782A0" w:rsidR="001E1FF9" w:rsidRDefault="001E1FF9" w:rsidP="00E24676">
      <w:pPr>
        <w:pStyle w:val="NoSpacing"/>
        <w:numPr>
          <w:ilvl w:val="0"/>
          <w:numId w:val="11"/>
        </w:numPr>
      </w:pPr>
      <w:r>
        <w:t>Single-Family, Detached</w:t>
      </w:r>
    </w:p>
    <w:p w14:paraId="621B73AE" w14:textId="7C5AC9A9" w:rsidR="001E1FF9" w:rsidRDefault="001E1FF9" w:rsidP="00E24676">
      <w:pPr>
        <w:pStyle w:val="NoSpacing"/>
        <w:numPr>
          <w:ilvl w:val="0"/>
          <w:numId w:val="11"/>
        </w:numPr>
      </w:pPr>
      <w:r>
        <w:t>Single-Family, Attached</w:t>
      </w:r>
    </w:p>
    <w:p w14:paraId="5231CB5A" w14:textId="41F74651" w:rsidR="001E1FF9" w:rsidRDefault="001E1FF9" w:rsidP="00E24676">
      <w:pPr>
        <w:pStyle w:val="NoSpacing"/>
        <w:numPr>
          <w:ilvl w:val="0"/>
          <w:numId w:val="11"/>
        </w:numPr>
      </w:pPr>
      <w:r>
        <w:t>Multi-Family, 2-4 Units (Sum of 2-Family and 3-4 Units categories)</w:t>
      </w:r>
    </w:p>
    <w:p w14:paraId="5B53202C" w14:textId="465156E2" w:rsidR="001E1FF9" w:rsidRDefault="001E1FF9" w:rsidP="00E24676">
      <w:pPr>
        <w:pStyle w:val="NoSpacing"/>
        <w:numPr>
          <w:ilvl w:val="0"/>
          <w:numId w:val="11"/>
        </w:numPr>
      </w:pPr>
      <w:r>
        <w:t>Multi-Family, 5+ Units (Sum of 5-19 Units, 20-49 Units, and 50+ Units categories)</w:t>
      </w:r>
    </w:p>
    <w:p w14:paraId="7601EDEC" w14:textId="397F048D" w:rsidR="001E1FF9" w:rsidRDefault="001E1FF9" w:rsidP="00E24676">
      <w:pPr>
        <w:pStyle w:val="NoSpacing"/>
        <w:numPr>
          <w:ilvl w:val="0"/>
          <w:numId w:val="11"/>
        </w:numPr>
      </w:pPr>
      <w:r>
        <w:t>Other</w:t>
      </w:r>
    </w:p>
    <w:p w14:paraId="38FB61F6" w14:textId="77777777" w:rsidR="00A47ECA" w:rsidRDefault="00A47ECA" w:rsidP="00A47ECA">
      <w:pPr>
        <w:pStyle w:val="NoSpacing"/>
        <w:ind w:left="720"/>
      </w:pPr>
    </w:p>
    <w:p w14:paraId="57A71E99" w14:textId="02A6309D" w:rsidR="001E1FF9" w:rsidRDefault="009C104D" w:rsidP="009C104D">
      <w:pPr>
        <w:pStyle w:val="ParaText"/>
      </w:pPr>
      <w:r>
        <w:t>Residential fuel o</w:t>
      </w:r>
      <w:r w:rsidR="001E1FF9">
        <w:t xml:space="preserve">il </w:t>
      </w:r>
      <w:r>
        <w:t xml:space="preserve">combustion emissions </w:t>
      </w:r>
      <w:r w:rsidR="00FB05C1">
        <w:t>we</w:t>
      </w:r>
      <w:r>
        <w:t>re totaled</w:t>
      </w:r>
      <w:r w:rsidR="001E1FF9">
        <w:t xml:space="preserve"> using s</w:t>
      </w:r>
      <w:r w:rsidR="001E1FF9" w:rsidRPr="001E1FF9">
        <w:t>tate average use and expenditure by fuel type</w:t>
      </w:r>
      <w:r w:rsidR="001E1FF9">
        <w:t xml:space="preserve"> </w:t>
      </w:r>
      <w:r w:rsidR="00E63A6B">
        <w:t xml:space="preserve">and applied to </w:t>
      </w:r>
      <w:r w:rsidR="001E1FF9">
        <w:t xml:space="preserve">Cambridge </w:t>
      </w:r>
      <w:r w:rsidR="001E1FF9" w:rsidRPr="001E1FF9">
        <w:t>housing</w:t>
      </w:r>
      <w:r w:rsidR="001E1FF9">
        <w:t xml:space="preserve"> data.</w:t>
      </w:r>
      <w:r w:rsidR="00CB3A52">
        <w:t xml:space="preserve"> </w:t>
      </w:r>
      <w:r w:rsidR="00CB3A52" w:rsidRPr="00CB3A52">
        <w:t xml:space="preserve">Massachusetts has a lower concentration of single family homes and a higher concentration of two- to four-unit apartments. </w:t>
      </w:r>
      <w:r w:rsidR="00FB05C1" w:rsidRPr="00CB3A52">
        <w:t>To</w:t>
      </w:r>
      <w:r w:rsidR="00CB3A52" w:rsidRPr="00CB3A52">
        <w:t xml:space="preserve"> account for this when comparing an average Massachusetts home with an average </w:t>
      </w:r>
      <w:r w:rsidR="003A72E9">
        <w:t>New England</w:t>
      </w:r>
      <w:r w:rsidR="00CB3A52" w:rsidRPr="00CB3A52">
        <w:t xml:space="preserve"> home (averaged across all housing units), </w:t>
      </w:r>
      <w:r w:rsidR="00CB3A52">
        <w:t>a</w:t>
      </w:r>
      <w:r w:rsidR="00CB3A52" w:rsidRPr="00CB3A52">
        <w:t xml:space="preserve"> weighted </w:t>
      </w:r>
      <w:r w:rsidR="00D0571D">
        <w:t>New England</w:t>
      </w:r>
      <w:r w:rsidR="00CB3A52" w:rsidRPr="00CB3A52">
        <w:t xml:space="preserve"> Average Consumption based on the percentage breakdown of housing unit types in Massachusetts</w:t>
      </w:r>
      <w:r w:rsidR="00CB3A52">
        <w:t xml:space="preserve"> </w:t>
      </w:r>
      <w:r w:rsidR="00FB05C1">
        <w:t>wa</w:t>
      </w:r>
      <w:r w:rsidR="00CB3A52">
        <w:t>s used</w:t>
      </w:r>
      <w:r w:rsidR="00CB3A52" w:rsidRPr="00CB3A52">
        <w:t>.</w:t>
      </w:r>
    </w:p>
    <w:p w14:paraId="5D121FB7" w14:textId="4E83DCA3" w:rsidR="001E1FF9" w:rsidRPr="00FB05C1" w:rsidRDefault="00FB05C1" w:rsidP="00997F48">
      <w:pPr>
        <w:pStyle w:val="ParaText"/>
      </w:pPr>
      <w:r w:rsidRPr="00FB05C1">
        <w:rPr>
          <w:iCs/>
        </w:rPr>
        <w:t xml:space="preserve">For the </w:t>
      </w:r>
      <w:r w:rsidR="003A72E9" w:rsidRPr="00FB05C1">
        <w:rPr>
          <w:iCs/>
        </w:rPr>
        <w:t>Commercial</w:t>
      </w:r>
      <w:r w:rsidRPr="00FB05C1">
        <w:rPr>
          <w:iCs/>
        </w:rPr>
        <w:t xml:space="preserve"> sector, fuel oil use estimates were based on </w:t>
      </w:r>
      <w:r w:rsidR="0008111A" w:rsidRPr="00FB05C1">
        <w:t>the total number of employees</w:t>
      </w:r>
      <w:r w:rsidRPr="00FB05C1">
        <w:t>,</w:t>
      </w:r>
      <w:r w:rsidR="0008111A" w:rsidRPr="00FB05C1">
        <w:t xml:space="preserve"> establishments by Primary Building Activity (PBA), and the average expected energy use per employee for each PBA. The </w:t>
      </w:r>
      <w:r w:rsidR="00396684" w:rsidRPr="00FB05C1">
        <w:t>Executive Office of Labor and Workforce Development (EOWLD) ES-292 Employment and Wages Survey lists the number of employees and establishments by industry, sorted by North American Industry Classification System (NAICS) codes.</w:t>
      </w:r>
      <w:r w:rsidR="00396684" w:rsidRPr="000A47ED">
        <w:rPr>
          <w:rStyle w:val="FootnoteReference"/>
          <w:sz w:val="18"/>
          <w:szCs w:val="18"/>
        </w:rPr>
        <w:footnoteReference w:id="7"/>
      </w:r>
      <w:r w:rsidR="00396684" w:rsidRPr="000A47ED">
        <w:rPr>
          <w:rStyle w:val="FootnoteReference"/>
          <w:sz w:val="18"/>
          <w:szCs w:val="18"/>
        </w:rPr>
        <w:t xml:space="preserve"> </w:t>
      </w:r>
      <w:r w:rsidR="00396684" w:rsidRPr="00FB05C1">
        <w:t xml:space="preserve">The EIA </w:t>
      </w:r>
      <w:r w:rsidR="00997F48" w:rsidRPr="00FB05C1">
        <w:t>2012 Commercial building Energy Survey (CBECS)</w:t>
      </w:r>
      <w:r w:rsidR="00396684" w:rsidRPr="00FB05C1">
        <w:t xml:space="preserve"> analyzes energy use and consumption data based on Primary Building Activity (PBA). </w:t>
      </w:r>
    </w:p>
    <w:p w14:paraId="5468F7E2" w14:textId="33B4359A" w:rsidR="00997F48" w:rsidRPr="00FB05C1" w:rsidRDefault="00997F48" w:rsidP="00997F48">
      <w:pPr>
        <w:pStyle w:val="ParaText"/>
      </w:pPr>
      <w:r w:rsidRPr="00FB05C1">
        <w:t xml:space="preserve">The crosswalk </w:t>
      </w:r>
      <w:r w:rsidR="002A134C">
        <w:t xml:space="preserve">provided </w:t>
      </w:r>
      <w:r w:rsidR="002A134C" w:rsidRPr="002A134C">
        <w:t xml:space="preserve">in </w:t>
      </w:r>
      <w:r w:rsidR="002A134C" w:rsidRPr="002A134C">
        <w:fldChar w:fldCharType="begin"/>
      </w:r>
      <w:r w:rsidR="002A134C" w:rsidRPr="002A134C">
        <w:instrText xml:space="preserve"> REF _Ref477438861 \h </w:instrText>
      </w:r>
      <w:r w:rsidR="002A134C">
        <w:instrText xml:space="preserve"> \* MERGEFORMAT </w:instrText>
      </w:r>
      <w:r w:rsidR="002A134C" w:rsidRPr="002A134C">
        <w:fldChar w:fldCharType="separate"/>
      </w:r>
      <w:r w:rsidR="00631613" w:rsidRPr="00631613">
        <w:t xml:space="preserve">Table </w:t>
      </w:r>
      <w:r w:rsidR="00631613" w:rsidRPr="00631613">
        <w:rPr>
          <w:noProof/>
        </w:rPr>
        <w:t>4</w:t>
      </w:r>
      <w:r w:rsidR="002A134C" w:rsidRPr="002A134C">
        <w:fldChar w:fldCharType="end"/>
      </w:r>
      <w:r w:rsidR="002A134C">
        <w:t xml:space="preserve"> </w:t>
      </w:r>
      <w:r w:rsidRPr="00FB05C1">
        <w:t>(generated by EIA) roughly correlates the PBA codes used in CBECS with standard three-digit NAICS codes between 400 and 1000.</w:t>
      </w:r>
    </w:p>
    <w:p w14:paraId="033E9807" w14:textId="77777777" w:rsidR="00C8101E" w:rsidRDefault="00C8101E">
      <w:pPr>
        <w:spacing w:after="200" w:line="276" w:lineRule="auto"/>
        <w:rPr>
          <w:rFonts w:ascii="Arial" w:hAnsi="Arial" w:cs="Arial"/>
          <w:b/>
          <w:bCs/>
          <w:sz w:val="20"/>
          <w:szCs w:val="20"/>
          <w:lang w:val="en-US"/>
        </w:rPr>
      </w:pPr>
      <w:bookmarkStart w:id="36" w:name="_Ref477438861"/>
      <w:r>
        <w:rPr>
          <w:sz w:val="20"/>
          <w:szCs w:val="20"/>
        </w:rPr>
        <w:br w:type="page"/>
      </w:r>
    </w:p>
    <w:p w14:paraId="469AEC80" w14:textId="1BA68677" w:rsidR="00997F48" w:rsidRPr="002A134C" w:rsidRDefault="002A134C" w:rsidP="002A134C">
      <w:pPr>
        <w:pStyle w:val="Caption"/>
        <w:rPr>
          <w:bCs w:val="0"/>
          <w:sz w:val="20"/>
          <w:szCs w:val="20"/>
        </w:rPr>
      </w:pPr>
      <w:r w:rsidRPr="002A134C">
        <w:rPr>
          <w:sz w:val="20"/>
          <w:szCs w:val="20"/>
        </w:rPr>
        <w:lastRenderedPageBreak/>
        <w:t xml:space="preserve">Table </w:t>
      </w:r>
      <w:r w:rsidRPr="002A134C">
        <w:rPr>
          <w:sz w:val="20"/>
          <w:szCs w:val="20"/>
        </w:rPr>
        <w:fldChar w:fldCharType="begin"/>
      </w:r>
      <w:r w:rsidRPr="002A134C">
        <w:rPr>
          <w:sz w:val="20"/>
          <w:szCs w:val="20"/>
        </w:rPr>
        <w:instrText xml:space="preserve"> SEQ Table \* ARABIC </w:instrText>
      </w:r>
      <w:r w:rsidRPr="002A134C">
        <w:rPr>
          <w:sz w:val="20"/>
          <w:szCs w:val="20"/>
        </w:rPr>
        <w:fldChar w:fldCharType="separate"/>
      </w:r>
      <w:r w:rsidR="00AD4785">
        <w:rPr>
          <w:noProof/>
          <w:sz w:val="20"/>
          <w:szCs w:val="20"/>
        </w:rPr>
        <w:t>4</w:t>
      </w:r>
      <w:r w:rsidRPr="002A134C">
        <w:rPr>
          <w:sz w:val="20"/>
          <w:szCs w:val="20"/>
        </w:rPr>
        <w:fldChar w:fldCharType="end"/>
      </w:r>
      <w:bookmarkEnd w:id="36"/>
      <w:r w:rsidRPr="002A134C">
        <w:rPr>
          <w:sz w:val="20"/>
          <w:szCs w:val="20"/>
        </w:rPr>
        <w:t xml:space="preserve">: </w:t>
      </w:r>
      <w:r w:rsidR="00997F48" w:rsidRPr="002A134C">
        <w:rPr>
          <w:bCs w:val="0"/>
          <w:sz w:val="20"/>
          <w:szCs w:val="20"/>
        </w:rPr>
        <w:t>NAICS code crosswalk table for identifying Primary Building Activity</w:t>
      </w:r>
    </w:p>
    <w:tbl>
      <w:tblPr>
        <w:tblStyle w:val="AlternatingRows3"/>
        <w:tblW w:w="0" w:type="auto"/>
        <w:tblLook w:val="04A0" w:firstRow="1" w:lastRow="0" w:firstColumn="1" w:lastColumn="0" w:noHBand="0" w:noVBand="1"/>
      </w:tblPr>
      <w:tblGrid>
        <w:gridCol w:w="2410"/>
        <w:gridCol w:w="6940"/>
      </w:tblGrid>
      <w:tr w:rsidR="00997F48" w:rsidRPr="005F76C3" w14:paraId="4E7F5F2C" w14:textId="77777777" w:rsidTr="005F76C3">
        <w:trPr>
          <w:cnfStyle w:val="100000000000" w:firstRow="1" w:lastRow="0" w:firstColumn="0" w:lastColumn="0" w:oddVBand="0" w:evenVBand="0" w:oddHBand="0" w:evenHBand="0" w:firstRowFirstColumn="0" w:firstRowLastColumn="0" w:lastRowFirstColumn="0" w:lastRowLastColumn="0"/>
        </w:trPr>
        <w:tc>
          <w:tcPr>
            <w:tcW w:w="2448" w:type="dxa"/>
          </w:tcPr>
          <w:p w14:paraId="747E9153" w14:textId="30AEF55C" w:rsidR="00997F48" w:rsidRPr="005F76C3" w:rsidRDefault="00997F48" w:rsidP="00997F48">
            <w:pPr>
              <w:pStyle w:val="NoSpacing"/>
              <w:rPr>
                <w:b w:val="0"/>
                <w:bCs/>
                <w:sz w:val="20"/>
                <w:szCs w:val="20"/>
              </w:rPr>
            </w:pPr>
            <w:r w:rsidRPr="005F76C3">
              <w:rPr>
                <w:bCs/>
                <w:sz w:val="20"/>
                <w:szCs w:val="20"/>
              </w:rPr>
              <w:t>PBA</w:t>
            </w:r>
          </w:p>
        </w:tc>
        <w:tc>
          <w:tcPr>
            <w:tcW w:w="7128" w:type="dxa"/>
          </w:tcPr>
          <w:p w14:paraId="369A0A06" w14:textId="4307A3E3" w:rsidR="00997F48" w:rsidRPr="005F76C3" w:rsidRDefault="00997F48" w:rsidP="00997F48">
            <w:pPr>
              <w:pStyle w:val="NoSpacing"/>
              <w:rPr>
                <w:b w:val="0"/>
                <w:bCs/>
                <w:sz w:val="20"/>
                <w:szCs w:val="20"/>
              </w:rPr>
            </w:pPr>
            <w:r w:rsidRPr="005F76C3">
              <w:rPr>
                <w:bCs/>
                <w:sz w:val="20"/>
                <w:szCs w:val="20"/>
              </w:rPr>
              <w:t>NAICS Code (3-digit)</w:t>
            </w:r>
          </w:p>
        </w:tc>
      </w:tr>
      <w:tr w:rsidR="00997F48" w:rsidRPr="005F76C3" w14:paraId="6C0925FE"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0772F068" w14:textId="15FA129F" w:rsidR="00997F48" w:rsidRPr="005F76C3" w:rsidRDefault="00997F48" w:rsidP="00997F48">
            <w:pPr>
              <w:pStyle w:val="NoSpacing"/>
              <w:rPr>
                <w:sz w:val="20"/>
                <w:szCs w:val="20"/>
              </w:rPr>
            </w:pPr>
            <w:r w:rsidRPr="005F76C3">
              <w:rPr>
                <w:sz w:val="20"/>
                <w:szCs w:val="20"/>
              </w:rPr>
              <w:t xml:space="preserve">Education </w:t>
            </w:r>
          </w:p>
        </w:tc>
        <w:tc>
          <w:tcPr>
            <w:tcW w:w="7128" w:type="dxa"/>
          </w:tcPr>
          <w:p w14:paraId="5F7D7BF4" w14:textId="3D191C74" w:rsidR="00997F48" w:rsidRPr="005F76C3" w:rsidRDefault="00997F48" w:rsidP="00997F48">
            <w:pPr>
              <w:pStyle w:val="NoSpacing"/>
              <w:rPr>
                <w:sz w:val="20"/>
                <w:szCs w:val="20"/>
              </w:rPr>
            </w:pPr>
            <w:r w:rsidRPr="005F76C3">
              <w:rPr>
                <w:sz w:val="20"/>
                <w:szCs w:val="20"/>
              </w:rPr>
              <w:t xml:space="preserve">611 </w:t>
            </w:r>
          </w:p>
        </w:tc>
      </w:tr>
      <w:tr w:rsidR="00997F48" w:rsidRPr="005F76C3" w14:paraId="796F04BB" w14:textId="77777777" w:rsidTr="005F76C3">
        <w:trPr>
          <w:cnfStyle w:val="000000010000" w:firstRow="0" w:lastRow="0" w:firstColumn="0" w:lastColumn="0" w:oddVBand="0" w:evenVBand="0" w:oddHBand="0" w:evenHBand="1" w:firstRowFirstColumn="0" w:firstRowLastColumn="0" w:lastRowFirstColumn="0" w:lastRowLastColumn="0"/>
        </w:trPr>
        <w:tc>
          <w:tcPr>
            <w:tcW w:w="2448" w:type="dxa"/>
          </w:tcPr>
          <w:p w14:paraId="36035FC2" w14:textId="35A90A45" w:rsidR="00997F48" w:rsidRPr="005F76C3" w:rsidRDefault="00997F48" w:rsidP="00997F48">
            <w:pPr>
              <w:pStyle w:val="NoSpacing"/>
              <w:rPr>
                <w:sz w:val="20"/>
                <w:szCs w:val="20"/>
              </w:rPr>
            </w:pPr>
            <w:r w:rsidRPr="005F76C3">
              <w:rPr>
                <w:sz w:val="20"/>
                <w:szCs w:val="20"/>
              </w:rPr>
              <w:t xml:space="preserve">Food Sales </w:t>
            </w:r>
          </w:p>
        </w:tc>
        <w:tc>
          <w:tcPr>
            <w:tcW w:w="7128" w:type="dxa"/>
          </w:tcPr>
          <w:p w14:paraId="3A7D7144" w14:textId="3D18E22E" w:rsidR="00997F48" w:rsidRPr="005F76C3" w:rsidRDefault="00997F48" w:rsidP="00997F48">
            <w:pPr>
              <w:pStyle w:val="NoSpacing"/>
              <w:rPr>
                <w:sz w:val="20"/>
                <w:szCs w:val="20"/>
              </w:rPr>
            </w:pPr>
            <w:r w:rsidRPr="005F76C3">
              <w:rPr>
                <w:sz w:val="20"/>
                <w:szCs w:val="20"/>
              </w:rPr>
              <w:t xml:space="preserve">445 </w:t>
            </w:r>
            <w:r w:rsidR="00870F04" w:rsidRPr="005F76C3">
              <w:rPr>
                <w:sz w:val="20"/>
                <w:szCs w:val="20"/>
              </w:rPr>
              <w:softHyphen/>
            </w:r>
          </w:p>
        </w:tc>
      </w:tr>
      <w:tr w:rsidR="00997F48" w:rsidRPr="005F76C3" w14:paraId="2F7E864B"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331581A1" w14:textId="30FBCEDC" w:rsidR="00997F48" w:rsidRPr="005F76C3" w:rsidRDefault="00997F48" w:rsidP="00997F48">
            <w:pPr>
              <w:pStyle w:val="NoSpacing"/>
              <w:rPr>
                <w:sz w:val="20"/>
                <w:szCs w:val="20"/>
              </w:rPr>
            </w:pPr>
            <w:r w:rsidRPr="005F76C3">
              <w:rPr>
                <w:sz w:val="20"/>
                <w:szCs w:val="20"/>
              </w:rPr>
              <w:t xml:space="preserve">Food Service </w:t>
            </w:r>
          </w:p>
        </w:tc>
        <w:tc>
          <w:tcPr>
            <w:tcW w:w="7128" w:type="dxa"/>
          </w:tcPr>
          <w:p w14:paraId="5B1AD587" w14:textId="5223AEE0" w:rsidR="00997F48" w:rsidRPr="005F76C3" w:rsidRDefault="00997F48" w:rsidP="00997F48">
            <w:pPr>
              <w:pStyle w:val="NoSpacing"/>
              <w:rPr>
                <w:sz w:val="20"/>
                <w:szCs w:val="20"/>
              </w:rPr>
            </w:pPr>
            <w:r w:rsidRPr="005F76C3">
              <w:rPr>
                <w:sz w:val="20"/>
                <w:szCs w:val="20"/>
              </w:rPr>
              <w:t xml:space="preserve">722 </w:t>
            </w:r>
          </w:p>
        </w:tc>
      </w:tr>
      <w:tr w:rsidR="00997F48" w:rsidRPr="005F76C3" w14:paraId="234CB56C" w14:textId="77777777" w:rsidTr="005F76C3">
        <w:trPr>
          <w:cnfStyle w:val="000000010000" w:firstRow="0" w:lastRow="0" w:firstColumn="0" w:lastColumn="0" w:oddVBand="0" w:evenVBand="0" w:oddHBand="0" w:evenHBand="1" w:firstRowFirstColumn="0" w:firstRowLastColumn="0" w:lastRowFirstColumn="0" w:lastRowLastColumn="0"/>
        </w:trPr>
        <w:tc>
          <w:tcPr>
            <w:tcW w:w="2448" w:type="dxa"/>
          </w:tcPr>
          <w:p w14:paraId="23F2B474" w14:textId="473BA6F0" w:rsidR="00997F48" w:rsidRPr="005F76C3" w:rsidRDefault="00997F48" w:rsidP="00997F48">
            <w:pPr>
              <w:pStyle w:val="NoSpacing"/>
              <w:rPr>
                <w:sz w:val="20"/>
                <w:szCs w:val="20"/>
              </w:rPr>
            </w:pPr>
            <w:r w:rsidRPr="005F76C3">
              <w:rPr>
                <w:sz w:val="20"/>
                <w:szCs w:val="20"/>
              </w:rPr>
              <w:t xml:space="preserve">Inpatient Health Care </w:t>
            </w:r>
          </w:p>
        </w:tc>
        <w:tc>
          <w:tcPr>
            <w:tcW w:w="7128" w:type="dxa"/>
          </w:tcPr>
          <w:p w14:paraId="31018B60" w14:textId="06C3675B" w:rsidR="00997F48" w:rsidRPr="005F76C3" w:rsidRDefault="00997F48" w:rsidP="00997F48">
            <w:pPr>
              <w:pStyle w:val="NoSpacing"/>
              <w:rPr>
                <w:sz w:val="20"/>
                <w:szCs w:val="20"/>
              </w:rPr>
            </w:pPr>
            <w:r w:rsidRPr="005F76C3">
              <w:rPr>
                <w:sz w:val="20"/>
                <w:szCs w:val="20"/>
              </w:rPr>
              <w:t xml:space="preserve">622 </w:t>
            </w:r>
          </w:p>
        </w:tc>
      </w:tr>
      <w:tr w:rsidR="00997F48" w:rsidRPr="005F76C3" w14:paraId="301E8D25"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50D8B804" w14:textId="568016EF" w:rsidR="00997F48" w:rsidRPr="005F76C3" w:rsidRDefault="00997F48" w:rsidP="00997F48">
            <w:pPr>
              <w:pStyle w:val="NoSpacing"/>
              <w:rPr>
                <w:sz w:val="20"/>
                <w:szCs w:val="20"/>
              </w:rPr>
            </w:pPr>
            <w:r w:rsidRPr="005F76C3">
              <w:rPr>
                <w:sz w:val="20"/>
                <w:szCs w:val="20"/>
              </w:rPr>
              <w:t xml:space="preserve">Outpatient Health Care </w:t>
            </w:r>
          </w:p>
        </w:tc>
        <w:tc>
          <w:tcPr>
            <w:tcW w:w="7128" w:type="dxa"/>
          </w:tcPr>
          <w:p w14:paraId="25184BBE" w14:textId="458931FD" w:rsidR="00997F48" w:rsidRPr="005F76C3" w:rsidRDefault="00997F48" w:rsidP="00997F48">
            <w:pPr>
              <w:pStyle w:val="NoSpacing"/>
              <w:rPr>
                <w:sz w:val="20"/>
                <w:szCs w:val="20"/>
              </w:rPr>
            </w:pPr>
            <w:r w:rsidRPr="005F76C3">
              <w:rPr>
                <w:sz w:val="20"/>
                <w:szCs w:val="20"/>
              </w:rPr>
              <w:t xml:space="preserve">621 </w:t>
            </w:r>
          </w:p>
        </w:tc>
      </w:tr>
      <w:tr w:rsidR="00997F48" w:rsidRPr="005F76C3" w14:paraId="6E1A0024" w14:textId="77777777" w:rsidTr="005F76C3">
        <w:trPr>
          <w:cnfStyle w:val="000000010000" w:firstRow="0" w:lastRow="0" w:firstColumn="0" w:lastColumn="0" w:oddVBand="0" w:evenVBand="0" w:oddHBand="0" w:evenHBand="1" w:firstRowFirstColumn="0" w:firstRowLastColumn="0" w:lastRowFirstColumn="0" w:lastRowLastColumn="0"/>
        </w:trPr>
        <w:tc>
          <w:tcPr>
            <w:tcW w:w="2448" w:type="dxa"/>
          </w:tcPr>
          <w:p w14:paraId="1F19851B" w14:textId="0AFCAF30" w:rsidR="00997F48" w:rsidRPr="005F76C3" w:rsidRDefault="00997F48" w:rsidP="00997F48">
            <w:pPr>
              <w:pStyle w:val="NoSpacing"/>
              <w:rPr>
                <w:sz w:val="20"/>
                <w:szCs w:val="20"/>
              </w:rPr>
            </w:pPr>
            <w:r w:rsidRPr="005F76C3">
              <w:rPr>
                <w:sz w:val="20"/>
                <w:szCs w:val="20"/>
              </w:rPr>
              <w:t xml:space="preserve">Lodging </w:t>
            </w:r>
          </w:p>
        </w:tc>
        <w:tc>
          <w:tcPr>
            <w:tcW w:w="7128" w:type="dxa"/>
          </w:tcPr>
          <w:p w14:paraId="31142D48" w14:textId="75B05015" w:rsidR="00997F48" w:rsidRPr="005F76C3" w:rsidRDefault="00997F48" w:rsidP="00997F48">
            <w:pPr>
              <w:pStyle w:val="NoSpacing"/>
              <w:rPr>
                <w:sz w:val="20"/>
                <w:szCs w:val="20"/>
              </w:rPr>
            </w:pPr>
            <w:r w:rsidRPr="005F76C3">
              <w:rPr>
                <w:sz w:val="20"/>
                <w:szCs w:val="20"/>
              </w:rPr>
              <w:t xml:space="preserve">623, 721 </w:t>
            </w:r>
          </w:p>
        </w:tc>
      </w:tr>
      <w:tr w:rsidR="00997F48" w:rsidRPr="005F76C3" w14:paraId="4F088D2C"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76844EE0" w14:textId="1AD9682E" w:rsidR="00997F48" w:rsidRPr="005F76C3" w:rsidRDefault="00997F48" w:rsidP="00997F48">
            <w:pPr>
              <w:pStyle w:val="NoSpacing"/>
              <w:rPr>
                <w:sz w:val="20"/>
                <w:szCs w:val="20"/>
              </w:rPr>
            </w:pPr>
            <w:r w:rsidRPr="005F76C3">
              <w:rPr>
                <w:sz w:val="20"/>
                <w:szCs w:val="20"/>
              </w:rPr>
              <w:t xml:space="preserve">Retail (non-mall) </w:t>
            </w:r>
          </w:p>
        </w:tc>
        <w:tc>
          <w:tcPr>
            <w:tcW w:w="7128" w:type="dxa"/>
          </w:tcPr>
          <w:p w14:paraId="4CD2D37F" w14:textId="191811C4" w:rsidR="00997F48" w:rsidRPr="005F76C3" w:rsidRDefault="00997F48" w:rsidP="00997F48">
            <w:pPr>
              <w:pStyle w:val="NoSpacing"/>
              <w:rPr>
                <w:sz w:val="20"/>
                <w:szCs w:val="20"/>
              </w:rPr>
            </w:pPr>
            <w:r w:rsidRPr="005F76C3">
              <w:rPr>
                <w:sz w:val="20"/>
                <w:szCs w:val="20"/>
              </w:rPr>
              <w:t xml:space="preserve">441, 442, 443, 444, 451, 452, 453, 532 </w:t>
            </w:r>
          </w:p>
        </w:tc>
      </w:tr>
      <w:tr w:rsidR="00997F48" w:rsidRPr="005F76C3" w14:paraId="631AC3D6" w14:textId="77777777" w:rsidTr="005F76C3">
        <w:trPr>
          <w:cnfStyle w:val="000000010000" w:firstRow="0" w:lastRow="0" w:firstColumn="0" w:lastColumn="0" w:oddVBand="0" w:evenVBand="0" w:oddHBand="0" w:evenHBand="1" w:firstRowFirstColumn="0" w:firstRowLastColumn="0" w:lastRowFirstColumn="0" w:lastRowLastColumn="0"/>
        </w:trPr>
        <w:tc>
          <w:tcPr>
            <w:tcW w:w="2448" w:type="dxa"/>
          </w:tcPr>
          <w:p w14:paraId="161CA941" w14:textId="217E78D7" w:rsidR="00997F48" w:rsidRPr="005F76C3" w:rsidRDefault="00997F48" w:rsidP="00997F48">
            <w:pPr>
              <w:pStyle w:val="NoSpacing"/>
              <w:rPr>
                <w:sz w:val="20"/>
                <w:szCs w:val="20"/>
              </w:rPr>
            </w:pPr>
            <w:r w:rsidRPr="005F76C3">
              <w:rPr>
                <w:sz w:val="20"/>
                <w:szCs w:val="20"/>
              </w:rPr>
              <w:t xml:space="preserve">Retail (mall) </w:t>
            </w:r>
          </w:p>
        </w:tc>
        <w:tc>
          <w:tcPr>
            <w:tcW w:w="7128" w:type="dxa"/>
          </w:tcPr>
          <w:p w14:paraId="6495D50A" w14:textId="640E7405" w:rsidR="00997F48" w:rsidRPr="005F76C3" w:rsidRDefault="00997F48" w:rsidP="00997F48">
            <w:pPr>
              <w:pStyle w:val="NoSpacing"/>
              <w:rPr>
                <w:sz w:val="20"/>
                <w:szCs w:val="20"/>
              </w:rPr>
            </w:pPr>
            <w:r w:rsidRPr="005F76C3">
              <w:rPr>
                <w:sz w:val="20"/>
                <w:szCs w:val="20"/>
              </w:rPr>
              <w:t xml:space="preserve">446, 448 </w:t>
            </w:r>
          </w:p>
        </w:tc>
      </w:tr>
      <w:tr w:rsidR="00997F48" w:rsidRPr="005F76C3" w14:paraId="215F9150"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14D7D577" w14:textId="0BEE9891" w:rsidR="00997F48" w:rsidRPr="005F76C3" w:rsidRDefault="00997F48" w:rsidP="00997F48">
            <w:pPr>
              <w:pStyle w:val="NoSpacing"/>
              <w:rPr>
                <w:sz w:val="20"/>
                <w:szCs w:val="20"/>
              </w:rPr>
            </w:pPr>
            <w:r w:rsidRPr="005F76C3">
              <w:rPr>
                <w:sz w:val="20"/>
                <w:szCs w:val="20"/>
              </w:rPr>
              <w:t xml:space="preserve">Office </w:t>
            </w:r>
          </w:p>
        </w:tc>
        <w:tc>
          <w:tcPr>
            <w:tcW w:w="7128" w:type="dxa"/>
          </w:tcPr>
          <w:p w14:paraId="3724FF36" w14:textId="40080B4F" w:rsidR="00997F48" w:rsidRPr="005F76C3" w:rsidRDefault="00997F48" w:rsidP="00997F48">
            <w:pPr>
              <w:pStyle w:val="NoSpacing"/>
              <w:rPr>
                <w:sz w:val="20"/>
                <w:szCs w:val="20"/>
              </w:rPr>
            </w:pPr>
            <w:r w:rsidRPr="005F76C3">
              <w:rPr>
                <w:sz w:val="20"/>
                <w:szCs w:val="20"/>
              </w:rPr>
              <w:t xml:space="preserve">454, 486, 511, 516, 517, 518, 519, 521, 522, 523, 524, 525, 561, 624, 921, 923, 924, 925, 926, 928 </w:t>
            </w:r>
          </w:p>
        </w:tc>
      </w:tr>
      <w:tr w:rsidR="00997F48" w:rsidRPr="005F76C3" w14:paraId="76F0615E" w14:textId="77777777" w:rsidTr="005F76C3">
        <w:trPr>
          <w:cnfStyle w:val="000000010000" w:firstRow="0" w:lastRow="0" w:firstColumn="0" w:lastColumn="0" w:oddVBand="0" w:evenVBand="0" w:oddHBand="0" w:evenHBand="1" w:firstRowFirstColumn="0" w:firstRowLastColumn="0" w:lastRowFirstColumn="0" w:lastRowLastColumn="0"/>
        </w:trPr>
        <w:tc>
          <w:tcPr>
            <w:tcW w:w="2448" w:type="dxa"/>
          </w:tcPr>
          <w:p w14:paraId="6A56639B" w14:textId="5B5F9897" w:rsidR="00997F48" w:rsidRPr="005F76C3" w:rsidRDefault="00997F48" w:rsidP="00997F48">
            <w:pPr>
              <w:pStyle w:val="NoSpacing"/>
              <w:rPr>
                <w:sz w:val="20"/>
                <w:szCs w:val="20"/>
              </w:rPr>
            </w:pPr>
            <w:r w:rsidRPr="005F76C3">
              <w:rPr>
                <w:sz w:val="20"/>
                <w:szCs w:val="20"/>
              </w:rPr>
              <w:t xml:space="preserve">Public Assembly </w:t>
            </w:r>
          </w:p>
        </w:tc>
        <w:tc>
          <w:tcPr>
            <w:tcW w:w="7128" w:type="dxa"/>
          </w:tcPr>
          <w:p w14:paraId="0F381E55" w14:textId="07A37E94" w:rsidR="00997F48" w:rsidRPr="005F76C3" w:rsidRDefault="00997F48" w:rsidP="00997F48">
            <w:pPr>
              <w:pStyle w:val="NoSpacing"/>
              <w:rPr>
                <w:sz w:val="20"/>
                <w:szCs w:val="20"/>
              </w:rPr>
            </w:pPr>
            <w:r w:rsidRPr="005F76C3">
              <w:rPr>
                <w:sz w:val="20"/>
                <w:szCs w:val="20"/>
              </w:rPr>
              <w:t xml:space="preserve">481, 482, 485, 487, 512, 515, 711, 712, 713 </w:t>
            </w:r>
          </w:p>
        </w:tc>
      </w:tr>
      <w:tr w:rsidR="00997F48" w:rsidRPr="005F76C3" w14:paraId="422BF121"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7ED43FB7" w14:textId="7D6DAF3F" w:rsidR="00997F48" w:rsidRPr="005F76C3" w:rsidRDefault="00997F48" w:rsidP="00997F48">
            <w:pPr>
              <w:pStyle w:val="NoSpacing"/>
              <w:rPr>
                <w:sz w:val="20"/>
                <w:szCs w:val="20"/>
              </w:rPr>
            </w:pPr>
            <w:r w:rsidRPr="005F76C3">
              <w:rPr>
                <w:sz w:val="20"/>
                <w:szCs w:val="20"/>
              </w:rPr>
              <w:t xml:space="preserve">Public Order/ Safety </w:t>
            </w:r>
          </w:p>
        </w:tc>
        <w:tc>
          <w:tcPr>
            <w:tcW w:w="7128" w:type="dxa"/>
          </w:tcPr>
          <w:p w14:paraId="2F9D5754" w14:textId="582FF6D8" w:rsidR="00997F48" w:rsidRPr="005F76C3" w:rsidRDefault="00997F48" w:rsidP="00997F48">
            <w:pPr>
              <w:pStyle w:val="NoSpacing"/>
              <w:rPr>
                <w:sz w:val="20"/>
                <w:szCs w:val="20"/>
              </w:rPr>
            </w:pPr>
            <w:r w:rsidRPr="005F76C3">
              <w:rPr>
                <w:sz w:val="20"/>
                <w:szCs w:val="20"/>
              </w:rPr>
              <w:t xml:space="preserve">922 </w:t>
            </w:r>
          </w:p>
        </w:tc>
      </w:tr>
      <w:tr w:rsidR="00997F48" w:rsidRPr="005F76C3" w14:paraId="2793E569" w14:textId="77777777" w:rsidTr="005F76C3">
        <w:trPr>
          <w:cnfStyle w:val="000000010000" w:firstRow="0" w:lastRow="0" w:firstColumn="0" w:lastColumn="0" w:oddVBand="0" w:evenVBand="0" w:oddHBand="0" w:evenHBand="1" w:firstRowFirstColumn="0" w:firstRowLastColumn="0" w:lastRowFirstColumn="0" w:lastRowLastColumn="0"/>
        </w:trPr>
        <w:tc>
          <w:tcPr>
            <w:tcW w:w="2448" w:type="dxa"/>
          </w:tcPr>
          <w:p w14:paraId="2ACE60FF" w14:textId="73E8EE48" w:rsidR="00997F48" w:rsidRPr="005F76C3" w:rsidRDefault="00997F48" w:rsidP="00997F48">
            <w:pPr>
              <w:pStyle w:val="NoSpacing"/>
              <w:rPr>
                <w:sz w:val="20"/>
                <w:szCs w:val="20"/>
              </w:rPr>
            </w:pPr>
            <w:r w:rsidRPr="005F76C3">
              <w:rPr>
                <w:sz w:val="20"/>
                <w:szCs w:val="20"/>
              </w:rPr>
              <w:t xml:space="preserve">Religious Worship </w:t>
            </w:r>
          </w:p>
        </w:tc>
        <w:tc>
          <w:tcPr>
            <w:tcW w:w="7128" w:type="dxa"/>
          </w:tcPr>
          <w:p w14:paraId="4A6BE097" w14:textId="61080746" w:rsidR="00997F48" w:rsidRPr="005F76C3" w:rsidRDefault="00997F48" w:rsidP="00997F48">
            <w:pPr>
              <w:pStyle w:val="NoSpacing"/>
              <w:rPr>
                <w:sz w:val="20"/>
                <w:szCs w:val="20"/>
              </w:rPr>
            </w:pPr>
            <w:r w:rsidRPr="005F76C3">
              <w:rPr>
                <w:sz w:val="20"/>
                <w:szCs w:val="20"/>
              </w:rPr>
              <w:t xml:space="preserve">813 </w:t>
            </w:r>
          </w:p>
        </w:tc>
      </w:tr>
      <w:tr w:rsidR="00997F48" w:rsidRPr="005F76C3" w14:paraId="0F425E13"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6FD4BDD7" w14:textId="4A0A3DA9" w:rsidR="00997F48" w:rsidRPr="005F76C3" w:rsidRDefault="00997F48" w:rsidP="00997F48">
            <w:pPr>
              <w:pStyle w:val="NoSpacing"/>
              <w:rPr>
                <w:sz w:val="20"/>
                <w:szCs w:val="20"/>
              </w:rPr>
            </w:pPr>
            <w:r w:rsidRPr="005F76C3">
              <w:rPr>
                <w:sz w:val="20"/>
                <w:szCs w:val="20"/>
              </w:rPr>
              <w:t xml:space="preserve">Service </w:t>
            </w:r>
          </w:p>
        </w:tc>
        <w:tc>
          <w:tcPr>
            <w:tcW w:w="7128" w:type="dxa"/>
          </w:tcPr>
          <w:p w14:paraId="4F83D2FF" w14:textId="4335B1B9" w:rsidR="00997F48" w:rsidRPr="005F76C3" w:rsidRDefault="00997F48" w:rsidP="00997F48">
            <w:pPr>
              <w:pStyle w:val="NoSpacing"/>
              <w:rPr>
                <w:sz w:val="20"/>
                <w:szCs w:val="20"/>
              </w:rPr>
            </w:pPr>
            <w:r w:rsidRPr="005F76C3">
              <w:rPr>
                <w:sz w:val="20"/>
                <w:szCs w:val="20"/>
              </w:rPr>
              <w:t xml:space="preserve">447, 483, 484, 488, 491, 492, 811, 812 </w:t>
            </w:r>
          </w:p>
        </w:tc>
      </w:tr>
      <w:tr w:rsidR="00997F48" w:rsidRPr="005F76C3" w14:paraId="620559B7" w14:textId="77777777" w:rsidTr="005F76C3">
        <w:trPr>
          <w:cnfStyle w:val="000000010000" w:firstRow="0" w:lastRow="0" w:firstColumn="0" w:lastColumn="0" w:oddVBand="0" w:evenVBand="0" w:oddHBand="0" w:evenHBand="1" w:firstRowFirstColumn="0" w:firstRowLastColumn="0" w:lastRowFirstColumn="0" w:lastRowLastColumn="0"/>
        </w:trPr>
        <w:tc>
          <w:tcPr>
            <w:tcW w:w="2448" w:type="dxa"/>
          </w:tcPr>
          <w:p w14:paraId="001FC5CA" w14:textId="05EC5FD4" w:rsidR="00997F48" w:rsidRPr="005F76C3" w:rsidRDefault="00997F48" w:rsidP="00997F48">
            <w:pPr>
              <w:pStyle w:val="NoSpacing"/>
              <w:rPr>
                <w:sz w:val="20"/>
                <w:szCs w:val="20"/>
              </w:rPr>
            </w:pPr>
            <w:r w:rsidRPr="005F76C3">
              <w:rPr>
                <w:sz w:val="20"/>
                <w:szCs w:val="20"/>
              </w:rPr>
              <w:t xml:space="preserve">Warehouse/ Storage </w:t>
            </w:r>
          </w:p>
        </w:tc>
        <w:tc>
          <w:tcPr>
            <w:tcW w:w="7128" w:type="dxa"/>
          </w:tcPr>
          <w:p w14:paraId="5DF3836A" w14:textId="78084BCB" w:rsidR="00997F48" w:rsidRPr="005F76C3" w:rsidRDefault="00997F48" w:rsidP="00997F48">
            <w:pPr>
              <w:pStyle w:val="NoSpacing"/>
              <w:rPr>
                <w:sz w:val="20"/>
                <w:szCs w:val="20"/>
              </w:rPr>
            </w:pPr>
            <w:r w:rsidRPr="005F76C3">
              <w:rPr>
                <w:sz w:val="20"/>
                <w:szCs w:val="20"/>
              </w:rPr>
              <w:t xml:space="preserve">423, 424, 493 </w:t>
            </w:r>
          </w:p>
        </w:tc>
      </w:tr>
      <w:tr w:rsidR="00997F48" w:rsidRPr="005F76C3" w14:paraId="14E67096" w14:textId="77777777" w:rsidTr="005F76C3">
        <w:trPr>
          <w:cnfStyle w:val="000000100000" w:firstRow="0" w:lastRow="0" w:firstColumn="0" w:lastColumn="0" w:oddVBand="0" w:evenVBand="0" w:oddHBand="1" w:evenHBand="0" w:firstRowFirstColumn="0" w:firstRowLastColumn="0" w:lastRowFirstColumn="0" w:lastRowLastColumn="0"/>
        </w:trPr>
        <w:tc>
          <w:tcPr>
            <w:tcW w:w="2448" w:type="dxa"/>
          </w:tcPr>
          <w:p w14:paraId="024FB267" w14:textId="5824FCEA" w:rsidR="00997F48" w:rsidRPr="005F76C3" w:rsidRDefault="00997F48" w:rsidP="00997F48">
            <w:pPr>
              <w:pStyle w:val="NoSpacing"/>
              <w:rPr>
                <w:sz w:val="20"/>
                <w:szCs w:val="20"/>
              </w:rPr>
            </w:pPr>
            <w:r w:rsidRPr="005F76C3">
              <w:rPr>
                <w:sz w:val="20"/>
                <w:szCs w:val="20"/>
              </w:rPr>
              <w:t xml:space="preserve">Other </w:t>
            </w:r>
          </w:p>
        </w:tc>
        <w:tc>
          <w:tcPr>
            <w:tcW w:w="7128" w:type="dxa"/>
          </w:tcPr>
          <w:p w14:paraId="467BC2A1" w14:textId="3DD5085F" w:rsidR="00997F48" w:rsidRPr="005F76C3" w:rsidRDefault="00997F48" w:rsidP="00997F48">
            <w:pPr>
              <w:pStyle w:val="NoSpacing"/>
              <w:rPr>
                <w:sz w:val="20"/>
                <w:szCs w:val="20"/>
              </w:rPr>
            </w:pPr>
            <w:r w:rsidRPr="005F76C3">
              <w:rPr>
                <w:sz w:val="20"/>
                <w:szCs w:val="20"/>
              </w:rPr>
              <w:t xml:space="preserve">562, 927 </w:t>
            </w:r>
          </w:p>
        </w:tc>
      </w:tr>
    </w:tbl>
    <w:p w14:paraId="7242747D" w14:textId="77777777" w:rsidR="00997F48" w:rsidRDefault="00997F48" w:rsidP="00997F48">
      <w:pPr>
        <w:pStyle w:val="ParaText"/>
      </w:pPr>
    </w:p>
    <w:p w14:paraId="4C78EF04" w14:textId="64E1440F" w:rsidR="002826CB" w:rsidRDefault="002826CB" w:rsidP="002826CB">
      <w:pPr>
        <w:pStyle w:val="ParaText"/>
      </w:pPr>
      <w:r>
        <w:t>Certain data required alternate collection methods due to a lack of direct employee data. PBA’s with incomplete data used one of two options for estimating the missing data for the purposes of this baseline:</w:t>
      </w:r>
    </w:p>
    <w:p w14:paraId="56765906" w14:textId="28E0459B" w:rsidR="002826CB" w:rsidRDefault="002826CB" w:rsidP="00E24676">
      <w:pPr>
        <w:pStyle w:val="ParaText"/>
        <w:numPr>
          <w:ilvl w:val="0"/>
          <w:numId w:val="12"/>
        </w:numPr>
      </w:pPr>
      <w:r>
        <w:t>Option 1: Compare average fuel oil use to average natural gas use in the same building types, using Office buildings as a baseline. For example, if a PBA that uses natural gas uses 50% more natural gas than an Office building, assume that if the same PBA used fuel oil, it would use 50% more fuel oil than an Office building. This is the preferred method, as it yields a more conservative estimate.</w:t>
      </w:r>
    </w:p>
    <w:p w14:paraId="1A606255" w14:textId="43F7C29A" w:rsidR="002826CB" w:rsidRDefault="002826CB" w:rsidP="00E24676">
      <w:pPr>
        <w:pStyle w:val="ParaText"/>
        <w:numPr>
          <w:ilvl w:val="0"/>
          <w:numId w:val="12"/>
        </w:numPr>
      </w:pPr>
      <w:r>
        <w:t>Option 2: Find average fuel oil consumption for an average New England building (across all PBAs) and divide</w:t>
      </w:r>
    </w:p>
    <w:p w14:paraId="15A06D3E" w14:textId="795F15B9" w:rsidR="002826CB" w:rsidRPr="00DE1250" w:rsidRDefault="00DE1250" w:rsidP="00025BF2">
      <w:pPr>
        <w:pStyle w:val="ParaText"/>
      </w:pPr>
      <w:r w:rsidRPr="00DE1250">
        <w:rPr>
          <w:iCs/>
        </w:rPr>
        <w:t xml:space="preserve">For the </w:t>
      </w:r>
      <w:r>
        <w:rPr>
          <w:iCs/>
        </w:rPr>
        <w:t>i</w:t>
      </w:r>
      <w:r w:rsidR="003A72E9" w:rsidRPr="00DE1250">
        <w:rPr>
          <w:iCs/>
        </w:rPr>
        <w:t>ndustrial</w:t>
      </w:r>
      <w:r>
        <w:t xml:space="preserve"> sector, </w:t>
      </w:r>
      <w:r w:rsidR="002826CB" w:rsidRPr="00DE1250">
        <w:t xml:space="preserve">data </w:t>
      </w:r>
      <w:r>
        <w:t>wa</w:t>
      </w:r>
      <w:r w:rsidR="002826CB" w:rsidRPr="00DE1250">
        <w:t xml:space="preserve">s collected similarly to Commercial data. The total number of employees and establishments by </w:t>
      </w:r>
      <w:r w:rsidR="000A3DB3" w:rsidRPr="00DE1250">
        <w:t>PBA</w:t>
      </w:r>
      <w:r w:rsidR="002826CB" w:rsidRPr="00DE1250">
        <w:t>, and the average expected energy use per employee for each PBA. EOWLD</w:t>
      </w:r>
      <w:r w:rsidR="000A3DB3" w:rsidRPr="00DE1250">
        <w:t xml:space="preserve"> </w:t>
      </w:r>
      <w:r w:rsidR="00025BF2" w:rsidRPr="00DE1250">
        <w:t>ES-20</w:t>
      </w:r>
      <w:r w:rsidR="002826CB" w:rsidRPr="00DE1250">
        <w:t>2 Survey lists the number of employees and establishments by industry, sorted by</w:t>
      </w:r>
      <w:r w:rsidR="000A3DB3" w:rsidRPr="00DE1250">
        <w:t xml:space="preserve"> NAICS </w:t>
      </w:r>
      <w:r w:rsidR="002826CB" w:rsidRPr="00DE1250">
        <w:t>codes.</w:t>
      </w:r>
      <w:r w:rsidR="002826CB" w:rsidRPr="000A47ED">
        <w:rPr>
          <w:rStyle w:val="FootnoteReference"/>
          <w:sz w:val="18"/>
          <w:szCs w:val="18"/>
        </w:rPr>
        <w:footnoteReference w:id="8"/>
      </w:r>
      <w:r w:rsidR="002826CB" w:rsidRPr="000A47ED">
        <w:rPr>
          <w:rStyle w:val="FootnoteReference"/>
          <w:sz w:val="18"/>
          <w:szCs w:val="18"/>
        </w:rPr>
        <w:t xml:space="preserve"> </w:t>
      </w:r>
      <w:r w:rsidR="00025BF2" w:rsidRPr="00DE1250">
        <w:t>This sector encompasses NAICS codes between 311 and 339</w:t>
      </w:r>
      <w:r w:rsidR="002A134C">
        <w:t xml:space="preserve"> as shown in </w:t>
      </w:r>
      <w:r w:rsidR="002A134C" w:rsidRPr="002A134C">
        <w:fldChar w:fldCharType="begin"/>
      </w:r>
      <w:r w:rsidR="002A134C" w:rsidRPr="002A134C">
        <w:instrText xml:space="preserve"> REF _Ref477438758 \h  \* MERGEFORMAT </w:instrText>
      </w:r>
      <w:r w:rsidR="002A134C" w:rsidRPr="002A134C">
        <w:fldChar w:fldCharType="separate"/>
      </w:r>
      <w:r w:rsidR="00631613" w:rsidRPr="00631613">
        <w:t xml:space="preserve">Table </w:t>
      </w:r>
      <w:r w:rsidR="00631613" w:rsidRPr="00631613">
        <w:rPr>
          <w:noProof/>
        </w:rPr>
        <w:t>5</w:t>
      </w:r>
      <w:r w:rsidR="002A134C" w:rsidRPr="002A134C">
        <w:fldChar w:fldCharType="end"/>
      </w:r>
      <w:r w:rsidR="00025BF2" w:rsidRPr="002A134C">
        <w:t>.</w:t>
      </w:r>
      <w:r w:rsidR="00025BF2" w:rsidRPr="00DE1250">
        <w:t xml:space="preserve"> Industrial energy uses between 100 and 200 (such as power generation and utility operations) </w:t>
      </w:r>
      <w:r>
        <w:t>we</w:t>
      </w:r>
      <w:r w:rsidR="00025BF2" w:rsidRPr="00DE1250">
        <w:t xml:space="preserve">re not incorporated in this </w:t>
      </w:r>
      <w:r w:rsidR="00025BF2" w:rsidRPr="00DE1250">
        <w:lastRenderedPageBreak/>
        <w:t xml:space="preserve">methodology. </w:t>
      </w:r>
      <w:r w:rsidR="002826CB" w:rsidRPr="00DE1250">
        <w:t xml:space="preserve">The EIA 2012 </w:t>
      </w:r>
      <w:r w:rsidR="00025BF2" w:rsidRPr="00DE1250">
        <w:t>Manufacturing Energy Consumption Survey (MECS)</w:t>
      </w:r>
      <w:r w:rsidR="002826CB" w:rsidRPr="00DE1250">
        <w:t xml:space="preserve"> analyzes energy use and consumption data based on Primary Building Activity (PBA). </w:t>
      </w:r>
    </w:p>
    <w:p w14:paraId="0A784A3B" w14:textId="672D9F54" w:rsidR="00F90265" w:rsidRPr="002A134C" w:rsidRDefault="002A134C" w:rsidP="002A134C">
      <w:pPr>
        <w:pStyle w:val="Caption"/>
        <w:rPr>
          <w:sz w:val="20"/>
        </w:rPr>
      </w:pPr>
      <w:bookmarkStart w:id="37" w:name="_Ref477438758"/>
      <w:r w:rsidRPr="002A134C">
        <w:rPr>
          <w:sz w:val="20"/>
        </w:rPr>
        <w:t xml:space="preserve">Table </w:t>
      </w:r>
      <w:r w:rsidRPr="002A134C">
        <w:rPr>
          <w:sz w:val="20"/>
        </w:rPr>
        <w:fldChar w:fldCharType="begin"/>
      </w:r>
      <w:r w:rsidRPr="002A134C">
        <w:rPr>
          <w:sz w:val="20"/>
        </w:rPr>
        <w:instrText xml:space="preserve"> SEQ Table \* ARABIC </w:instrText>
      </w:r>
      <w:r w:rsidRPr="002A134C">
        <w:rPr>
          <w:sz w:val="20"/>
        </w:rPr>
        <w:fldChar w:fldCharType="separate"/>
      </w:r>
      <w:r w:rsidR="00AD4785">
        <w:rPr>
          <w:noProof/>
          <w:sz w:val="20"/>
        </w:rPr>
        <w:t>5</w:t>
      </w:r>
      <w:r w:rsidRPr="002A134C">
        <w:rPr>
          <w:sz w:val="20"/>
        </w:rPr>
        <w:fldChar w:fldCharType="end"/>
      </w:r>
      <w:bookmarkEnd w:id="37"/>
      <w:r w:rsidRPr="002A134C">
        <w:rPr>
          <w:sz w:val="20"/>
        </w:rPr>
        <w:t xml:space="preserve">: </w:t>
      </w:r>
      <w:r w:rsidR="00F90265" w:rsidRPr="002A134C">
        <w:rPr>
          <w:bCs w:val="0"/>
          <w:sz w:val="20"/>
        </w:rPr>
        <w:t>Industrial NAICS Codes</w:t>
      </w:r>
    </w:p>
    <w:tbl>
      <w:tblPr>
        <w:tblStyle w:val="AlternatingRows3"/>
        <w:tblW w:w="9209" w:type="dxa"/>
        <w:tblLook w:val="04A0" w:firstRow="1" w:lastRow="0" w:firstColumn="1" w:lastColumn="0" w:noHBand="0" w:noVBand="1"/>
      </w:tblPr>
      <w:tblGrid>
        <w:gridCol w:w="1177"/>
        <w:gridCol w:w="2959"/>
        <w:gridCol w:w="1177"/>
        <w:gridCol w:w="3896"/>
      </w:tblGrid>
      <w:tr w:rsidR="005F76C3" w:rsidRPr="005F76C3" w14:paraId="1AF0CEBE" w14:textId="77777777" w:rsidTr="005F76C3">
        <w:trPr>
          <w:cnfStyle w:val="100000000000" w:firstRow="1" w:lastRow="0" w:firstColumn="0" w:lastColumn="0" w:oddVBand="0" w:evenVBand="0" w:oddHBand="0" w:evenHBand="0" w:firstRowFirstColumn="0" w:firstRowLastColumn="0" w:lastRowFirstColumn="0" w:lastRowLastColumn="0"/>
          <w:trHeight w:val="288"/>
        </w:trPr>
        <w:tc>
          <w:tcPr>
            <w:tcW w:w="1177" w:type="dxa"/>
          </w:tcPr>
          <w:p w14:paraId="2CE2030B" w14:textId="4436D536" w:rsidR="005F76C3" w:rsidRPr="005F76C3" w:rsidRDefault="005F76C3" w:rsidP="0080211E">
            <w:pPr>
              <w:pStyle w:val="ParaText"/>
              <w:spacing w:before="0" w:after="0" w:line="240" w:lineRule="auto"/>
              <w:contextualSpacing/>
              <w:rPr>
                <w:i/>
                <w:iCs/>
                <w:sz w:val="20"/>
                <w:szCs w:val="20"/>
              </w:rPr>
            </w:pPr>
            <w:r w:rsidRPr="005F76C3">
              <w:rPr>
                <w:color w:val="FFFFFF"/>
                <w:sz w:val="20"/>
                <w:szCs w:val="20"/>
              </w:rPr>
              <w:t>NAICS_3</w:t>
            </w:r>
          </w:p>
        </w:tc>
        <w:tc>
          <w:tcPr>
            <w:tcW w:w="2959" w:type="dxa"/>
          </w:tcPr>
          <w:p w14:paraId="759B9735" w14:textId="069E5190" w:rsidR="005F76C3" w:rsidRPr="005F76C3" w:rsidRDefault="005F76C3" w:rsidP="0080211E">
            <w:pPr>
              <w:pStyle w:val="ParaText"/>
              <w:spacing w:before="0" w:after="0" w:line="240" w:lineRule="auto"/>
              <w:contextualSpacing/>
              <w:rPr>
                <w:i/>
                <w:iCs/>
                <w:sz w:val="20"/>
                <w:szCs w:val="20"/>
              </w:rPr>
            </w:pPr>
            <w:r w:rsidRPr="005F76C3">
              <w:rPr>
                <w:color w:val="FFFFFF"/>
                <w:sz w:val="20"/>
                <w:szCs w:val="20"/>
              </w:rPr>
              <w:t>Industry</w:t>
            </w:r>
          </w:p>
        </w:tc>
        <w:tc>
          <w:tcPr>
            <w:tcW w:w="1177" w:type="dxa"/>
          </w:tcPr>
          <w:p w14:paraId="6D04C0C4" w14:textId="02ABA5BB" w:rsidR="005F76C3" w:rsidRPr="005F76C3" w:rsidRDefault="005F76C3" w:rsidP="0080211E">
            <w:pPr>
              <w:pStyle w:val="ParaText"/>
              <w:spacing w:before="0" w:after="0" w:line="240" w:lineRule="auto"/>
              <w:contextualSpacing/>
              <w:rPr>
                <w:i/>
                <w:iCs/>
                <w:sz w:val="20"/>
                <w:szCs w:val="20"/>
              </w:rPr>
            </w:pPr>
            <w:r w:rsidRPr="005F76C3">
              <w:rPr>
                <w:color w:val="FFFFFF"/>
                <w:sz w:val="20"/>
                <w:szCs w:val="20"/>
              </w:rPr>
              <w:t>NAICS_3</w:t>
            </w:r>
          </w:p>
        </w:tc>
        <w:tc>
          <w:tcPr>
            <w:tcW w:w="3896" w:type="dxa"/>
          </w:tcPr>
          <w:p w14:paraId="6A640A6C" w14:textId="0E01B50D" w:rsidR="005F76C3" w:rsidRPr="005F76C3" w:rsidRDefault="005F76C3" w:rsidP="0080211E">
            <w:pPr>
              <w:pStyle w:val="ParaText"/>
              <w:spacing w:before="0" w:after="0" w:line="240" w:lineRule="auto"/>
              <w:contextualSpacing/>
              <w:rPr>
                <w:i/>
                <w:iCs/>
                <w:sz w:val="20"/>
                <w:szCs w:val="20"/>
              </w:rPr>
            </w:pPr>
            <w:r w:rsidRPr="005F76C3">
              <w:rPr>
                <w:color w:val="FFFFFF"/>
                <w:sz w:val="20"/>
                <w:szCs w:val="20"/>
              </w:rPr>
              <w:t>Industry</w:t>
            </w:r>
          </w:p>
        </w:tc>
      </w:tr>
      <w:tr w:rsidR="005F76C3" w:rsidRPr="005F76C3" w14:paraId="43DAB10F" w14:textId="77777777" w:rsidTr="005F76C3">
        <w:trPr>
          <w:cnfStyle w:val="000000100000" w:firstRow="0" w:lastRow="0" w:firstColumn="0" w:lastColumn="0" w:oddVBand="0" w:evenVBand="0" w:oddHBand="1" w:evenHBand="0" w:firstRowFirstColumn="0" w:firstRowLastColumn="0" w:lastRowFirstColumn="0" w:lastRowLastColumn="0"/>
          <w:trHeight w:val="288"/>
        </w:trPr>
        <w:tc>
          <w:tcPr>
            <w:tcW w:w="1177" w:type="dxa"/>
          </w:tcPr>
          <w:p w14:paraId="23380C04" w14:textId="5F170D47"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311 </w:t>
            </w:r>
          </w:p>
        </w:tc>
        <w:tc>
          <w:tcPr>
            <w:tcW w:w="2959" w:type="dxa"/>
          </w:tcPr>
          <w:p w14:paraId="3831C9C0" w14:textId="44B551EB"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Food </w:t>
            </w:r>
          </w:p>
        </w:tc>
        <w:tc>
          <w:tcPr>
            <w:tcW w:w="1177" w:type="dxa"/>
          </w:tcPr>
          <w:p w14:paraId="69158B7C" w14:textId="5D8C5377"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326 </w:t>
            </w:r>
          </w:p>
        </w:tc>
        <w:tc>
          <w:tcPr>
            <w:tcW w:w="3896" w:type="dxa"/>
          </w:tcPr>
          <w:p w14:paraId="7A9511D9" w14:textId="791F7ADA"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Plastics and Rubber Products </w:t>
            </w:r>
          </w:p>
        </w:tc>
      </w:tr>
      <w:tr w:rsidR="005F76C3" w:rsidRPr="005F76C3" w14:paraId="6780DD6D" w14:textId="77777777" w:rsidTr="005F76C3">
        <w:trPr>
          <w:cnfStyle w:val="000000010000" w:firstRow="0" w:lastRow="0" w:firstColumn="0" w:lastColumn="0" w:oddVBand="0" w:evenVBand="0" w:oddHBand="0" w:evenHBand="1" w:firstRowFirstColumn="0" w:firstRowLastColumn="0" w:lastRowFirstColumn="0" w:lastRowLastColumn="0"/>
          <w:trHeight w:val="288"/>
        </w:trPr>
        <w:tc>
          <w:tcPr>
            <w:tcW w:w="1177" w:type="dxa"/>
          </w:tcPr>
          <w:p w14:paraId="37C776A0" w14:textId="4FE7F6C8"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312 </w:t>
            </w:r>
          </w:p>
        </w:tc>
        <w:tc>
          <w:tcPr>
            <w:tcW w:w="2959" w:type="dxa"/>
          </w:tcPr>
          <w:p w14:paraId="7A1E9A5C" w14:textId="7B1480AE"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Beverage and Tobacco Products </w:t>
            </w:r>
          </w:p>
        </w:tc>
        <w:tc>
          <w:tcPr>
            <w:tcW w:w="1177" w:type="dxa"/>
          </w:tcPr>
          <w:p w14:paraId="0314AB25" w14:textId="68090561"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327 </w:t>
            </w:r>
          </w:p>
        </w:tc>
        <w:tc>
          <w:tcPr>
            <w:tcW w:w="3896" w:type="dxa"/>
          </w:tcPr>
          <w:p w14:paraId="4AF65753" w14:textId="47B8F0F6"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Nonmetallic Mineral Products </w:t>
            </w:r>
          </w:p>
        </w:tc>
      </w:tr>
      <w:tr w:rsidR="005F76C3" w:rsidRPr="005F76C3" w14:paraId="5D085CE2" w14:textId="77777777" w:rsidTr="005F76C3">
        <w:trPr>
          <w:cnfStyle w:val="000000100000" w:firstRow="0" w:lastRow="0" w:firstColumn="0" w:lastColumn="0" w:oddVBand="0" w:evenVBand="0" w:oddHBand="1" w:evenHBand="0" w:firstRowFirstColumn="0" w:firstRowLastColumn="0" w:lastRowFirstColumn="0" w:lastRowLastColumn="0"/>
          <w:trHeight w:val="288"/>
        </w:trPr>
        <w:tc>
          <w:tcPr>
            <w:tcW w:w="1177" w:type="dxa"/>
          </w:tcPr>
          <w:p w14:paraId="55BB7A02" w14:textId="5DC33C5B"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313 </w:t>
            </w:r>
          </w:p>
        </w:tc>
        <w:tc>
          <w:tcPr>
            <w:tcW w:w="2959" w:type="dxa"/>
          </w:tcPr>
          <w:p w14:paraId="14448FA6" w14:textId="5C998B05"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Textile Mills </w:t>
            </w:r>
          </w:p>
        </w:tc>
        <w:tc>
          <w:tcPr>
            <w:tcW w:w="1177" w:type="dxa"/>
          </w:tcPr>
          <w:p w14:paraId="25477C84" w14:textId="7ED1F5F1"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331 </w:t>
            </w:r>
          </w:p>
        </w:tc>
        <w:tc>
          <w:tcPr>
            <w:tcW w:w="3896" w:type="dxa"/>
          </w:tcPr>
          <w:p w14:paraId="4280AA0C" w14:textId="1D00D946"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Primary Metals </w:t>
            </w:r>
          </w:p>
        </w:tc>
      </w:tr>
      <w:tr w:rsidR="005F76C3" w:rsidRPr="005F76C3" w14:paraId="3C026959" w14:textId="77777777" w:rsidTr="005F76C3">
        <w:trPr>
          <w:cnfStyle w:val="000000010000" w:firstRow="0" w:lastRow="0" w:firstColumn="0" w:lastColumn="0" w:oddVBand="0" w:evenVBand="0" w:oddHBand="0" w:evenHBand="1" w:firstRowFirstColumn="0" w:firstRowLastColumn="0" w:lastRowFirstColumn="0" w:lastRowLastColumn="0"/>
          <w:trHeight w:val="288"/>
        </w:trPr>
        <w:tc>
          <w:tcPr>
            <w:tcW w:w="1177" w:type="dxa"/>
          </w:tcPr>
          <w:p w14:paraId="24E031BB" w14:textId="6C7DFB2A"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314 </w:t>
            </w:r>
          </w:p>
        </w:tc>
        <w:tc>
          <w:tcPr>
            <w:tcW w:w="2959" w:type="dxa"/>
          </w:tcPr>
          <w:p w14:paraId="47E08E6D" w14:textId="097729BE"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Textile Product Mills </w:t>
            </w:r>
          </w:p>
        </w:tc>
        <w:tc>
          <w:tcPr>
            <w:tcW w:w="1177" w:type="dxa"/>
          </w:tcPr>
          <w:p w14:paraId="0CC4CDFB" w14:textId="2559639D"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332 </w:t>
            </w:r>
          </w:p>
        </w:tc>
        <w:tc>
          <w:tcPr>
            <w:tcW w:w="3896" w:type="dxa"/>
          </w:tcPr>
          <w:p w14:paraId="751EDC9D" w14:textId="449C05FB"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Fabricated Metal Products </w:t>
            </w:r>
          </w:p>
        </w:tc>
      </w:tr>
      <w:tr w:rsidR="005F76C3" w:rsidRPr="005F76C3" w14:paraId="3A9DC832" w14:textId="77777777" w:rsidTr="005F76C3">
        <w:trPr>
          <w:cnfStyle w:val="000000100000" w:firstRow="0" w:lastRow="0" w:firstColumn="0" w:lastColumn="0" w:oddVBand="0" w:evenVBand="0" w:oddHBand="1" w:evenHBand="0" w:firstRowFirstColumn="0" w:firstRowLastColumn="0" w:lastRowFirstColumn="0" w:lastRowLastColumn="0"/>
          <w:trHeight w:val="288"/>
        </w:trPr>
        <w:tc>
          <w:tcPr>
            <w:tcW w:w="1177" w:type="dxa"/>
          </w:tcPr>
          <w:p w14:paraId="43904DFA" w14:textId="44FA4CEC"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315 </w:t>
            </w:r>
          </w:p>
        </w:tc>
        <w:tc>
          <w:tcPr>
            <w:tcW w:w="2959" w:type="dxa"/>
          </w:tcPr>
          <w:p w14:paraId="120C5713" w14:textId="3B891938"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Apparel </w:t>
            </w:r>
          </w:p>
        </w:tc>
        <w:tc>
          <w:tcPr>
            <w:tcW w:w="1177" w:type="dxa"/>
          </w:tcPr>
          <w:p w14:paraId="7E7532EA" w14:textId="5066B9A5"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333 </w:t>
            </w:r>
          </w:p>
        </w:tc>
        <w:tc>
          <w:tcPr>
            <w:tcW w:w="3896" w:type="dxa"/>
          </w:tcPr>
          <w:p w14:paraId="712F31FE" w14:textId="309E46D3"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Machinery </w:t>
            </w:r>
          </w:p>
        </w:tc>
      </w:tr>
      <w:tr w:rsidR="005F76C3" w:rsidRPr="005F76C3" w14:paraId="484234E4" w14:textId="77777777" w:rsidTr="005F76C3">
        <w:trPr>
          <w:cnfStyle w:val="000000010000" w:firstRow="0" w:lastRow="0" w:firstColumn="0" w:lastColumn="0" w:oddVBand="0" w:evenVBand="0" w:oddHBand="0" w:evenHBand="1" w:firstRowFirstColumn="0" w:firstRowLastColumn="0" w:lastRowFirstColumn="0" w:lastRowLastColumn="0"/>
          <w:trHeight w:val="288"/>
        </w:trPr>
        <w:tc>
          <w:tcPr>
            <w:tcW w:w="1177" w:type="dxa"/>
          </w:tcPr>
          <w:p w14:paraId="521607CB" w14:textId="4CFF02B7"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316 </w:t>
            </w:r>
          </w:p>
        </w:tc>
        <w:tc>
          <w:tcPr>
            <w:tcW w:w="2959" w:type="dxa"/>
          </w:tcPr>
          <w:p w14:paraId="3235EA96" w14:textId="15993FDB"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Leather and Allied Products </w:t>
            </w:r>
          </w:p>
        </w:tc>
        <w:tc>
          <w:tcPr>
            <w:tcW w:w="1177" w:type="dxa"/>
          </w:tcPr>
          <w:p w14:paraId="59754F49" w14:textId="60DBEC72"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334 </w:t>
            </w:r>
          </w:p>
        </w:tc>
        <w:tc>
          <w:tcPr>
            <w:tcW w:w="3896" w:type="dxa"/>
          </w:tcPr>
          <w:p w14:paraId="046F98B6" w14:textId="430FE1EC"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Computer and Electronic Products </w:t>
            </w:r>
          </w:p>
        </w:tc>
      </w:tr>
      <w:tr w:rsidR="005F76C3" w:rsidRPr="005F76C3" w14:paraId="1DF2FE9C" w14:textId="77777777" w:rsidTr="005F76C3">
        <w:trPr>
          <w:cnfStyle w:val="000000100000" w:firstRow="0" w:lastRow="0" w:firstColumn="0" w:lastColumn="0" w:oddVBand="0" w:evenVBand="0" w:oddHBand="1" w:evenHBand="0" w:firstRowFirstColumn="0" w:firstRowLastColumn="0" w:lastRowFirstColumn="0" w:lastRowLastColumn="0"/>
          <w:trHeight w:val="288"/>
        </w:trPr>
        <w:tc>
          <w:tcPr>
            <w:tcW w:w="1177" w:type="dxa"/>
          </w:tcPr>
          <w:p w14:paraId="2EF3E034" w14:textId="2D495380"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321 </w:t>
            </w:r>
          </w:p>
        </w:tc>
        <w:tc>
          <w:tcPr>
            <w:tcW w:w="2959" w:type="dxa"/>
          </w:tcPr>
          <w:p w14:paraId="5CECE868" w14:textId="3333651D"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Wood Products </w:t>
            </w:r>
          </w:p>
        </w:tc>
        <w:tc>
          <w:tcPr>
            <w:tcW w:w="1177" w:type="dxa"/>
          </w:tcPr>
          <w:p w14:paraId="079CBC7F" w14:textId="572407AB"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335 </w:t>
            </w:r>
          </w:p>
        </w:tc>
        <w:tc>
          <w:tcPr>
            <w:tcW w:w="3896" w:type="dxa"/>
          </w:tcPr>
          <w:p w14:paraId="22F7F808" w14:textId="535AE955"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Electrical Equip., Appliances, and Components </w:t>
            </w:r>
          </w:p>
        </w:tc>
      </w:tr>
      <w:tr w:rsidR="005F76C3" w:rsidRPr="005F76C3" w14:paraId="2BF03674" w14:textId="77777777" w:rsidTr="005F76C3">
        <w:trPr>
          <w:cnfStyle w:val="000000010000" w:firstRow="0" w:lastRow="0" w:firstColumn="0" w:lastColumn="0" w:oddVBand="0" w:evenVBand="0" w:oddHBand="0" w:evenHBand="1" w:firstRowFirstColumn="0" w:firstRowLastColumn="0" w:lastRowFirstColumn="0" w:lastRowLastColumn="0"/>
          <w:trHeight w:val="288"/>
        </w:trPr>
        <w:tc>
          <w:tcPr>
            <w:tcW w:w="1177" w:type="dxa"/>
          </w:tcPr>
          <w:p w14:paraId="0E1E66E4" w14:textId="539AFBBA"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322 </w:t>
            </w:r>
          </w:p>
        </w:tc>
        <w:tc>
          <w:tcPr>
            <w:tcW w:w="2959" w:type="dxa"/>
          </w:tcPr>
          <w:p w14:paraId="3F5DDF7E" w14:textId="55BAD7FC"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Paper </w:t>
            </w:r>
          </w:p>
        </w:tc>
        <w:tc>
          <w:tcPr>
            <w:tcW w:w="1177" w:type="dxa"/>
          </w:tcPr>
          <w:p w14:paraId="0F53B420" w14:textId="34633021"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336 </w:t>
            </w:r>
          </w:p>
        </w:tc>
        <w:tc>
          <w:tcPr>
            <w:tcW w:w="3896" w:type="dxa"/>
          </w:tcPr>
          <w:p w14:paraId="1931F0D1" w14:textId="61B65079"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Transportation Equipment </w:t>
            </w:r>
          </w:p>
        </w:tc>
      </w:tr>
      <w:tr w:rsidR="005F76C3" w:rsidRPr="005F76C3" w14:paraId="5A8EB20D" w14:textId="77777777" w:rsidTr="005F76C3">
        <w:trPr>
          <w:cnfStyle w:val="000000100000" w:firstRow="0" w:lastRow="0" w:firstColumn="0" w:lastColumn="0" w:oddVBand="0" w:evenVBand="0" w:oddHBand="1" w:evenHBand="0" w:firstRowFirstColumn="0" w:firstRowLastColumn="0" w:lastRowFirstColumn="0" w:lastRowLastColumn="0"/>
          <w:trHeight w:val="288"/>
        </w:trPr>
        <w:tc>
          <w:tcPr>
            <w:tcW w:w="1177" w:type="dxa"/>
          </w:tcPr>
          <w:p w14:paraId="3965C048" w14:textId="5A478B36"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323 </w:t>
            </w:r>
          </w:p>
        </w:tc>
        <w:tc>
          <w:tcPr>
            <w:tcW w:w="2959" w:type="dxa"/>
          </w:tcPr>
          <w:p w14:paraId="0F8E5038" w14:textId="7BFCBF33"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Printing and Related Support </w:t>
            </w:r>
          </w:p>
        </w:tc>
        <w:tc>
          <w:tcPr>
            <w:tcW w:w="1177" w:type="dxa"/>
          </w:tcPr>
          <w:p w14:paraId="61A82173" w14:textId="252BF347"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337 </w:t>
            </w:r>
          </w:p>
        </w:tc>
        <w:tc>
          <w:tcPr>
            <w:tcW w:w="3896" w:type="dxa"/>
          </w:tcPr>
          <w:p w14:paraId="0A181FF5" w14:textId="2A3A0FB2"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Furniture and Related Products </w:t>
            </w:r>
          </w:p>
        </w:tc>
      </w:tr>
      <w:tr w:rsidR="005F76C3" w:rsidRPr="005F76C3" w14:paraId="5FD0D52B" w14:textId="77777777" w:rsidTr="005F76C3">
        <w:trPr>
          <w:cnfStyle w:val="000000010000" w:firstRow="0" w:lastRow="0" w:firstColumn="0" w:lastColumn="0" w:oddVBand="0" w:evenVBand="0" w:oddHBand="0" w:evenHBand="1" w:firstRowFirstColumn="0" w:firstRowLastColumn="0" w:lastRowFirstColumn="0" w:lastRowLastColumn="0"/>
          <w:trHeight w:val="288"/>
        </w:trPr>
        <w:tc>
          <w:tcPr>
            <w:tcW w:w="1177" w:type="dxa"/>
          </w:tcPr>
          <w:p w14:paraId="2F517178" w14:textId="77537E46"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324 </w:t>
            </w:r>
          </w:p>
        </w:tc>
        <w:tc>
          <w:tcPr>
            <w:tcW w:w="2959" w:type="dxa"/>
          </w:tcPr>
          <w:p w14:paraId="627ACCC7" w14:textId="2A4013DF"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Petroleum and Coal Products </w:t>
            </w:r>
          </w:p>
        </w:tc>
        <w:tc>
          <w:tcPr>
            <w:tcW w:w="1177" w:type="dxa"/>
          </w:tcPr>
          <w:p w14:paraId="1C0ED360" w14:textId="1B4CA92E"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339 </w:t>
            </w:r>
          </w:p>
        </w:tc>
        <w:tc>
          <w:tcPr>
            <w:tcW w:w="3896" w:type="dxa"/>
          </w:tcPr>
          <w:p w14:paraId="7FCFBE9F" w14:textId="1078DC0F"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Miscellaneous </w:t>
            </w:r>
          </w:p>
        </w:tc>
      </w:tr>
      <w:tr w:rsidR="005F76C3" w:rsidRPr="005F76C3" w14:paraId="3BB94008" w14:textId="77777777" w:rsidTr="005F76C3">
        <w:trPr>
          <w:cnfStyle w:val="000000100000" w:firstRow="0" w:lastRow="0" w:firstColumn="0" w:lastColumn="0" w:oddVBand="0" w:evenVBand="0" w:oddHBand="1" w:evenHBand="0" w:firstRowFirstColumn="0" w:firstRowLastColumn="0" w:lastRowFirstColumn="0" w:lastRowLastColumn="0"/>
          <w:trHeight w:val="288"/>
        </w:trPr>
        <w:tc>
          <w:tcPr>
            <w:tcW w:w="1177" w:type="dxa"/>
          </w:tcPr>
          <w:p w14:paraId="698EB2C0" w14:textId="466AA89D"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325 </w:t>
            </w:r>
          </w:p>
        </w:tc>
        <w:tc>
          <w:tcPr>
            <w:tcW w:w="2959" w:type="dxa"/>
          </w:tcPr>
          <w:p w14:paraId="226C71AE" w14:textId="77470DBA" w:rsidR="005F76C3" w:rsidRPr="005F76C3" w:rsidRDefault="005F76C3" w:rsidP="0080211E">
            <w:pPr>
              <w:pStyle w:val="ParaText"/>
              <w:spacing w:before="0" w:after="0" w:line="240" w:lineRule="auto"/>
              <w:contextualSpacing/>
              <w:rPr>
                <w:i/>
                <w:iCs/>
                <w:sz w:val="20"/>
                <w:szCs w:val="20"/>
              </w:rPr>
            </w:pPr>
            <w:r w:rsidRPr="005F76C3">
              <w:rPr>
                <w:sz w:val="20"/>
                <w:szCs w:val="20"/>
              </w:rPr>
              <w:t xml:space="preserve">Chemicals </w:t>
            </w:r>
          </w:p>
        </w:tc>
        <w:tc>
          <w:tcPr>
            <w:tcW w:w="1177" w:type="dxa"/>
          </w:tcPr>
          <w:p w14:paraId="3551D257" w14:textId="40EA769C" w:rsidR="005F76C3" w:rsidRPr="005F76C3" w:rsidRDefault="005F76C3" w:rsidP="0080211E">
            <w:pPr>
              <w:pStyle w:val="ParaText"/>
              <w:spacing w:before="0" w:after="0" w:line="240" w:lineRule="auto"/>
              <w:contextualSpacing/>
              <w:rPr>
                <w:i/>
                <w:iCs/>
                <w:sz w:val="20"/>
                <w:szCs w:val="20"/>
              </w:rPr>
            </w:pPr>
          </w:p>
        </w:tc>
        <w:tc>
          <w:tcPr>
            <w:tcW w:w="3896" w:type="dxa"/>
          </w:tcPr>
          <w:p w14:paraId="1EFF1AF1" w14:textId="079EEE5D" w:rsidR="005F76C3" w:rsidRPr="005F76C3" w:rsidRDefault="005F76C3" w:rsidP="0080211E">
            <w:pPr>
              <w:pStyle w:val="ParaText"/>
              <w:spacing w:before="0" w:after="0" w:line="240" w:lineRule="auto"/>
              <w:contextualSpacing/>
              <w:rPr>
                <w:i/>
                <w:iCs/>
                <w:sz w:val="20"/>
                <w:szCs w:val="20"/>
              </w:rPr>
            </w:pPr>
          </w:p>
        </w:tc>
      </w:tr>
    </w:tbl>
    <w:p w14:paraId="32C92E1F" w14:textId="4356D7A7" w:rsidR="003A72E9" w:rsidRPr="003A72E9" w:rsidRDefault="003A72E9" w:rsidP="001E1FF9">
      <w:pPr>
        <w:pStyle w:val="ParaText"/>
        <w:rPr>
          <w:i/>
          <w:iCs/>
        </w:rPr>
      </w:pPr>
    </w:p>
    <w:p w14:paraId="22F21C28" w14:textId="25F1DE01" w:rsidR="00B93E86" w:rsidRDefault="00DE1250" w:rsidP="00B93E86">
      <w:pPr>
        <w:pStyle w:val="ParaText"/>
        <w:rPr>
          <w:b/>
          <w:bCs/>
        </w:rPr>
      </w:pPr>
      <w:r>
        <w:t>As previously mentioned, f</w:t>
      </w:r>
      <w:r w:rsidR="00B93E86">
        <w:t xml:space="preserve">uel oil consumption from the Kendall Cogeneration Station, Blackstone plant, and MIT CUP are reported directly from the EPA </w:t>
      </w:r>
      <w:r w:rsidR="00B93E86" w:rsidRPr="00085DA0">
        <w:t>Greenhouse Gas Reporting Program</w:t>
      </w:r>
      <w:r w:rsidR="00B93E86">
        <w:t xml:space="preserve"> submittals</w:t>
      </w:r>
      <w:r>
        <w:t xml:space="preserve"> and therefore were not estimated here</w:t>
      </w:r>
      <w:r w:rsidR="00B93E86">
        <w:t>.</w:t>
      </w:r>
    </w:p>
    <w:p w14:paraId="4F69C4F8" w14:textId="77777777" w:rsidR="00B93E86" w:rsidRDefault="00B93E86" w:rsidP="00B93E86">
      <w:pPr>
        <w:pStyle w:val="BodyText"/>
        <w:rPr>
          <w:rFonts w:ascii="Times New Roman" w:eastAsia="Times New Roman" w:hAnsi="Times New Roman" w:cs="Times New Roman"/>
          <w:b/>
          <w:bCs/>
          <w:sz w:val="22"/>
          <w:szCs w:val="22"/>
          <w:lang w:val="en-US" w:eastAsia="en-US"/>
        </w:rPr>
      </w:pPr>
      <w:r w:rsidRPr="00400A14">
        <w:rPr>
          <w:rFonts w:ascii="Times New Roman" w:eastAsia="Times New Roman" w:hAnsi="Times New Roman" w:cs="Times New Roman"/>
          <w:b/>
          <w:bCs/>
          <w:sz w:val="22"/>
          <w:szCs w:val="22"/>
          <w:lang w:val="en-US" w:eastAsia="en-US"/>
        </w:rPr>
        <w:t>GPC Quantification Method Used</w:t>
      </w:r>
    </w:p>
    <w:p w14:paraId="5EAAB96A" w14:textId="32FFF8BD" w:rsidR="006A69A9" w:rsidRPr="00443868" w:rsidRDefault="006A69A9" w:rsidP="00443868">
      <w:pPr>
        <w:pStyle w:val="ParaText"/>
      </w:pPr>
      <w:r>
        <w:t>In accordance with Section 6.3 of the GPC, the e</w:t>
      </w:r>
      <w:r w:rsidRPr="006A69A9">
        <w:t xml:space="preserve">missions from </w:t>
      </w:r>
      <w:r>
        <w:t xml:space="preserve">these </w:t>
      </w:r>
      <w:r w:rsidRPr="006A69A9">
        <w:t>Stationary Energy sources are calculated</w:t>
      </w:r>
      <w:r>
        <w:t xml:space="preserve"> </w:t>
      </w:r>
      <w:r w:rsidRPr="006A69A9">
        <w:t xml:space="preserve">by multiplying </w:t>
      </w:r>
      <w:r>
        <w:t xml:space="preserve">activity data by </w:t>
      </w:r>
      <w:r w:rsidRPr="006A69A9">
        <w:t>the corresponding em</w:t>
      </w:r>
      <w:r>
        <w:t>ission factors for each fuel</w:t>
      </w:r>
      <w:r w:rsidRPr="006A69A9">
        <w:t>.</w:t>
      </w:r>
      <w:r>
        <w:t xml:space="preserve"> Estimated </w:t>
      </w:r>
      <w:r w:rsidRPr="00955E76">
        <w:t>energy consumption by fuel type</w:t>
      </w:r>
      <w:r>
        <w:t>, applicable consumption rates, and the</w:t>
      </w:r>
      <w:r w:rsidRPr="00955E76">
        <w:t xml:space="preserve"> total quantity of energy consumption overall </w:t>
      </w:r>
      <w:r>
        <w:t>are used to</w:t>
      </w:r>
      <w:r w:rsidRPr="00955E76">
        <w:t xml:space="preserve"> obtain a percentage that can be used to approximate how much of each fuel type is used by each </w:t>
      </w:r>
      <w:r>
        <w:t>sector in the community.</w:t>
      </w:r>
    </w:p>
    <w:p w14:paraId="6A40044D" w14:textId="059D6DF1" w:rsidR="009104CE" w:rsidRPr="00B76ACC" w:rsidRDefault="00716232" w:rsidP="00C8101E">
      <w:pPr>
        <w:pStyle w:val="ParaText"/>
      </w:pPr>
      <w:r>
        <w:t>A</w:t>
      </w:r>
      <w:r w:rsidR="006A69A9">
        <w:t xml:space="preserve">s detailed above, a collection of representative consumption surveys, </w:t>
      </w:r>
      <w:r w:rsidR="00631613">
        <w:t>modelled</w:t>
      </w:r>
      <w:r w:rsidR="006A69A9">
        <w:t xml:space="preserve"> energy consumption, and regional fuel consumption data was </w:t>
      </w:r>
      <w:r w:rsidR="00814FEB">
        <w:t xml:space="preserve">used </w:t>
      </w:r>
      <w:r w:rsidR="006A69A9">
        <w:t xml:space="preserve">to properly </w:t>
      </w:r>
      <w:r w:rsidR="006A69A9" w:rsidRPr="006A69A9">
        <w:t>characterize</w:t>
      </w:r>
      <w:r w:rsidR="006A69A9">
        <w:t xml:space="preserve"> the City of </w:t>
      </w:r>
      <w:r w:rsidR="00192901">
        <w:t>Cambridge</w:t>
      </w:r>
      <w:r w:rsidR="006A69A9">
        <w:t xml:space="preserve"> emissions.</w:t>
      </w:r>
      <w:r w:rsidR="00776934">
        <w:t xml:space="preserve"> </w:t>
      </w:r>
      <w:r w:rsidR="00814FEB">
        <w:t xml:space="preserve">Being that there is likely a higher number of employees per square foot in Cambridge than industry averages, oil consumption emissions are likely overestimated in this inventory. </w:t>
      </w:r>
    </w:p>
    <w:p w14:paraId="043868AA" w14:textId="77777777" w:rsidR="00B90ECA" w:rsidRDefault="00B90ECA">
      <w:pPr>
        <w:spacing w:after="200" w:line="276" w:lineRule="auto"/>
        <w:rPr>
          <w:rFonts w:ascii="Times New Roman" w:eastAsia="Times New Roman" w:hAnsi="Times New Roman" w:cs="Times New Roman"/>
          <w:sz w:val="22"/>
          <w:szCs w:val="22"/>
          <w:lang w:val="en-US" w:eastAsia="en-US"/>
        </w:rPr>
      </w:pPr>
      <w:r>
        <w:br w:type="page"/>
      </w:r>
    </w:p>
    <w:p w14:paraId="66C29631" w14:textId="58C54C35" w:rsidR="001850F9" w:rsidRDefault="001850F9" w:rsidP="00046551">
      <w:pPr>
        <w:pStyle w:val="Heading3"/>
        <w:tabs>
          <w:tab w:val="clear" w:pos="907"/>
          <w:tab w:val="num" w:pos="1080"/>
        </w:tabs>
        <w:spacing w:before="0" w:after="240"/>
        <w:ind w:left="1080" w:hanging="1080"/>
      </w:pPr>
      <w:bookmarkStart w:id="38" w:name="_Toc457892265"/>
      <w:r>
        <w:lastRenderedPageBreak/>
        <w:t>Stationary</w:t>
      </w:r>
      <w:r w:rsidR="00046551">
        <w:t xml:space="preserve"> Energy </w:t>
      </w:r>
      <w:r>
        <w:t>– Off-Road</w:t>
      </w:r>
      <w:r w:rsidR="009304CE">
        <w:t xml:space="preserve"> Vehicles and Equipment</w:t>
      </w:r>
    </w:p>
    <w:p w14:paraId="5208C43F" w14:textId="29098919" w:rsidR="001850F9" w:rsidRDefault="002F7408" w:rsidP="00BE013F">
      <w:pPr>
        <w:pStyle w:val="ParaText"/>
      </w:pPr>
      <w:r>
        <w:t>M</w:t>
      </w:r>
      <w:r w:rsidR="001850F9">
        <w:t xml:space="preserve">obile machinery emissions that occur off </w:t>
      </w:r>
      <w:r w:rsidR="00716232">
        <w:t>public</w:t>
      </w:r>
      <w:r w:rsidR="001850F9">
        <w:t xml:space="preserve"> roadways are </w:t>
      </w:r>
      <w:r w:rsidR="00E63A6B">
        <w:t xml:space="preserve">also </w:t>
      </w:r>
      <w:r w:rsidR="001850F9">
        <w:t>included in this inventory</w:t>
      </w:r>
      <w:r w:rsidR="00981776">
        <w:t>.</w:t>
      </w:r>
      <w:r w:rsidR="001850F9">
        <w:t xml:space="preserve"> The off-road </w:t>
      </w:r>
      <w:r w:rsidR="0064636F">
        <w:t xml:space="preserve">mobile </w:t>
      </w:r>
      <w:r w:rsidR="001850F9">
        <w:t xml:space="preserve">activities are categorized </w:t>
      </w:r>
      <w:proofErr w:type="gramStart"/>
      <w:r w:rsidR="001850F9">
        <w:t>according to</w:t>
      </w:r>
      <w:proofErr w:type="gramEnd"/>
      <w:r w:rsidR="001850F9">
        <w:t xml:space="preserve"> the area where they occur.</w:t>
      </w:r>
      <w:r w:rsidR="00046551" w:rsidRPr="00046551">
        <w:t xml:space="preserve"> </w:t>
      </w:r>
      <w:r w:rsidR="00046551">
        <w:t>For the purposes of the GPC, only activities in the city (</w:t>
      </w:r>
      <w:r w:rsidR="00BE013F">
        <w:t>S</w:t>
      </w:r>
      <w:r w:rsidR="00046551">
        <w:t>cope 1</w:t>
      </w:r>
      <w:r w:rsidR="00BE013F">
        <w:t>)</w:t>
      </w:r>
      <w:r w:rsidR="00046551">
        <w:t xml:space="preserve"> emissions are included.</w:t>
      </w:r>
    </w:p>
    <w:p w14:paraId="355D74B0" w14:textId="77191814" w:rsidR="001850F9" w:rsidRDefault="001850F9" w:rsidP="001850F9">
      <w:pPr>
        <w:pStyle w:val="ParaText"/>
        <w:rPr>
          <w:b/>
          <w:bCs/>
        </w:rPr>
      </w:pPr>
      <w:r>
        <w:rPr>
          <w:b/>
          <w:bCs/>
        </w:rPr>
        <w:t>Data Summary</w:t>
      </w:r>
    </w:p>
    <w:p w14:paraId="3A686F99" w14:textId="038F59D9" w:rsidR="00AF14EF" w:rsidRDefault="00AF14EF" w:rsidP="00AF14EF">
      <w:pPr>
        <w:pStyle w:val="ParaText"/>
      </w:pPr>
      <w:r>
        <w:t xml:space="preserve">The off-road data </w:t>
      </w:r>
      <w:r w:rsidR="00443868">
        <w:t xml:space="preserve">is derived from a publicly available U.S. EPA </w:t>
      </w:r>
      <w:r w:rsidR="00443868" w:rsidRPr="009E1CC6">
        <w:t xml:space="preserve">emission modeling system </w:t>
      </w:r>
      <w:r w:rsidR="00443868">
        <w:t xml:space="preserve">called </w:t>
      </w:r>
      <w:r>
        <w:t xml:space="preserve">the </w:t>
      </w:r>
      <w:r w:rsidRPr="009E1CC6">
        <w:t>M</w:t>
      </w:r>
      <w:r w:rsidR="00B557E4">
        <w:t>o</w:t>
      </w:r>
      <w:r w:rsidRPr="009E1CC6">
        <w:t>tor Vehicle Emission Simulator (MOVES)</w:t>
      </w:r>
      <w:r w:rsidR="00443868">
        <w:t>. MOVES</w:t>
      </w:r>
      <w:r w:rsidRPr="009E1CC6">
        <w:t xml:space="preserve"> estimates emissions for mobile </w:t>
      </w:r>
      <w:r>
        <w:t xml:space="preserve">non-road </w:t>
      </w:r>
      <w:r w:rsidRPr="009E1CC6">
        <w:t>s</w:t>
      </w:r>
      <w:r>
        <w:t xml:space="preserve">ources at the national and county </w:t>
      </w:r>
      <w:r w:rsidRPr="009E1CC6">
        <w:t>level for criteria air pollutants, greenhouse gases, and air toxics.</w:t>
      </w:r>
      <w:r>
        <w:t xml:space="preserve"> Proportional emissions data w</w:t>
      </w:r>
      <w:r w:rsidR="00443868">
        <w:t>ere</w:t>
      </w:r>
      <w:r>
        <w:t xml:space="preserve"> extracted from the county-level data </w:t>
      </w:r>
      <w:r w:rsidR="00443868">
        <w:t>based on the ratio of landscaped area in Cambridge versus the total landscaped area in Middlesex County determined by a GIS geospatial analysis</w:t>
      </w:r>
      <w:r>
        <w:t>.</w:t>
      </w:r>
    </w:p>
    <w:p w14:paraId="38B6F191" w14:textId="550A0A2B" w:rsidR="001850F9" w:rsidRDefault="001850F9" w:rsidP="001850F9">
      <w:pPr>
        <w:pStyle w:val="ParaText"/>
      </w:pPr>
      <w:r>
        <w:t>The MOVES2014 modeling tool multiplies equipment population, average load factor expressed as an average fraction of available power, available power in horsepower, hours of use per year, and emission factor</w:t>
      </w:r>
      <w:r w:rsidR="00443868">
        <w:t>s</w:t>
      </w:r>
      <w:r>
        <w:t xml:space="preserve"> with deterioration and/or new standards. Emissions </w:t>
      </w:r>
      <w:r w:rsidR="00443868">
        <w:t>a</w:t>
      </w:r>
      <w:r>
        <w:t>re then temporally and geographically allocated using appropriate allocation factors. This p</w:t>
      </w:r>
      <w:r w:rsidRPr="00BC020C">
        <w:t xml:space="preserve">roduces </w:t>
      </w:r>
      <w:r>
        <w:t xml:space="preserve">emissions </w:t>
      </w:r>
      <w:r w:rsidRPr="00BC020C">
        <w:t xml:space="preserve">estimates </w:t>
      </w:r>
      <w:r>
        <w:t>attributable to</w:t>
      </w:r>
      <w:r w:rsidRPr="00BC020C">
        <w:t xml:space="preserve"> many non-road </w:t>
      </w:r>
      <w:r>
        <w:t>activities</w:t>
      </w:r>
      <w:r w:rsidR="00443868">
        <w:t xml:space="preserve"> but</w:t>
      </w:r>
      <w:r>
        <w:t xml:space="preserve"> d</w:t>
      </w:r>
      <w:r w:rsidRPr="00BC020C">
        <w:t>oes not include aircraft, commercial marine vessels, or rail, which are the primary non-road transportation sources contributing to GHG emissions.</w:t>
      </w:r>
    </w:p>
    <w:p w14:paraId="18BDA244" w14:textId="709F3C08" w:rsidR="00B90ECA" w:rsidRDefault="00B90ECA" w:rsidP="00AF14EF">
      <w:pPr>
        <w:pStyle w:val="ParaText"/>
      </w:pPr>
      <w:r>
        <w:t xml:space="preserve">Construction </w:t>
      </w:r>
      <w:r w:rsidR="004F6DB4">
        <w:t xml:space="preserve">related fuel </w:t>
      </w:r>
      <w:r>
        <w:t>emissions were estimated using t</w:t>
      </w:r>
      <w:r w:rsidRPr="00B90ECA">
        <w:t>he work-in-place (WIP)</w:t>
      </w:r>
      <w:r>
        <w:t xml:space="preserve"> method and </w:t>
      </w:r>
      <w:r w:rsidRPr="00B90ECA">
        <w:t xml:space="preserve">fuel factor from </w:t>
      </w:r>
      <w:r>
        <w:t xml:space="preserve">the </w:t>
      </w:r>
      <w:r w:rsidRPr="00B90ECA">
        <w:t>"GHG and Criteria Air Pollutants Emissions Inventory for the Port Authority of New York and New Jersey", CY 2011.</w:t>
      </w:r>
      <w:r>
        <w:t xml:space="preserve"> </w:t>
      </w:r>
      <w:r w:rsidR="004F6DB4">
        <w:t>The</w:t>
      </w:r>
      <w:r w:rsidR="00AF14EF" w:rsidRPr="00AF14EF">
        <w:t xml:space="preserve"> WIP </w:t>
      </w:r>
      <w:r w:rsidR="004F6DB4">
        <w:t>method</w:t>
      </w:r>
      <w:r w:rsidR="00AF14EF" w:rsidRPr="00AF14EF">
        <w:t xml:space="preserve"> use</w:t>
      </w:r>
      <w:r w:rsidR="004F6DB4">
        <w:t>s an</w:t>
      </w:r>
      <w:r w:rsidR="00AF14EF" w:rsidRPr="00AF14EF">
        <w:t xml:space="preserve"> establish</w:t>
      </w:r>
      <w:r w:rsidR="004F6DB4">
        <w:t>ed</w:t>
      </w:r>
      <w:r w:rsidR="00AF14EF" w:rsidRPr="00AF14EF">
        <w:t xml:space="preserve"> emissions rate estimate per dollar of construction</w:t>
      </w:r>
      <w:r w:rsidR="004F6DB4">
        <w:t xml:space="preserve"> value (i.e.</w:t>
      </w:r>
      <w:r w:rsidRPr="00B90ECA">
        <w:t xml:space="preserve"> the dollar amounts for </w:t>
      </w:r>
      <w:r w:rsidR="004F6DB4">
        <w:t xml:space="preserve">construction </w:t>
      </w:r>
      <w:r w:rsidRPr="00B90ECA">
        <w:t>contracts</w:t>
      </w:r>
      <w:r w:rsidR="004F6DB4">
        <w:t>)</w:t>
      </w:r>
      <w:r w:rsidRPr="00B90ECA">
        <w:t>.</w:t>
      </w:r>
      <w:r>
        <w:t xml:space="preserve"> The </w:t>
      </w:r>
      <w:r w:rsidRPr="00B90ECA">
        <w:t xml:space="preserve">total </w:t>
      </w:r>
      <w:r>
        <w:t xml:space="preserve">annual </w:t>
      </w:r>
      <w:r w:rsidRPr="00B90ECA">
        <w:t xml:space="preserve">cost of </w:t>
      </w:r>
      <w:r>
        <w:t xml:space="preserve">construction in Cambridge was determined using the </w:t>
      </w:r>
      <w:r w:rsidRPr="00B90ECA">
        <w:t>"Cambridge Open Data, Commercial and Multifamily Building Permits, Building Cost of Construction</w:t>
      </w:r>
      <w:r>
        <w:t>.</w:t>
      </w:r>
      <w:r w:rsidRPr="00B90ECA">
        <w:t>"</w:t>
      </w:r>
    </w:p>
    <w:p w14:paraId="5D5E0A10" w14:textId="4A5FEF74" w:rsidR="001850F9" w:rsidRDefault="004F6DB4" w:rsidP="001850F9">
      <w:pPr>
        <w:pStyle w:val="ParaText"/>
      </w:pPr>
      <w:r w:rsidRPr="004F6DB4">
        <w:fldChar w:fldCharType="begin"/>
      </w:r>
      <w:r w:rsidRPr="004F6DB4">
        <w:instrText xml:space="preserve"> REF _Ref477351782 \h </w:instrText>
      </w:r>
      <w:r>
        <w:instrText xml:space="preserve"> \* MERGEFORMAT </w:instrText>
      </w:r>
      <w:r w:rsidRPr="004F6DB4">
        <w:fldChar w:fldCharType="separate"/>
      </w:r>
      <w:r w:rsidR="00631613" w:rsidRPr="00631613">
        <w:t xml:space="preserve">Table </w:t>
      </w:r>
      <w:r w:rsidR="00631613" w:rsidRPr="00631613">
        <w:rPr>
          <w:noProof/>
        </w:rPr>
        <w:t>6</w:t>
      </w:r>
      <w:r w:rsidRPr="004F6DB4">
        <w:fldChar w:fldCharType="end"/>
      </w:r>
      <w:r>
        <w:t xml:space="preserve"> summarizes the </w:t>
      </w:r>
      <w:r w:rsidR="000D2562">
        <w:t xml:space="preserve">methodologies used for each of the </w:t>
      </w:r>
      <w:r w:rsidR="001850F9">
        <w:t>off-road emission sources</w:t>
      </w:r>
      <w:r w:rsidR="000D2562">
        <w:t>.</w:t>
      </w:r>
    </w:p>
    <w:p w14:paraId="399C018E" w14:textId="787E622E" w:rsidR="004F6DB4" w:rsidRPr="004F6DB4" w:rsidRDefault="004F6DB4" w:rsidP="004F6DB4">
      <w:pPr>
        <w:pStyle w:val="Caption"/>
        <w:rPr>
          <w:sz w:val="20"/>
          <w:szCs w:val="20"/>
        </w:rPr>
      </w:pPr>
      <w:bookmarkStart w:id="39" w:name="_Ref477351782"/>
      <w:r w:rsidRPr="004F6DB4">
        <w:rPr>
          <w:sz w:val="20"/>
          <w:szCs w:val="20"/>
        </w:rPr>
        <w:t xml:space="preserve">Table </w:t>
      </w:r>
      <w:r w:rsidRPr="004F6DB4">
        <w:rPr>
          <w:sz w:val="20"/>
          <w:szCs w:val="20"/>
        </w:rPr>
        <w:fldChar w:fldCharType="begin"/>
      </w:r>
      <w:r w:rsidRPr="004F6DB4">
        <w:rPr>
          <w:sz w:val="20"/>
          <w:szCs w:val="20"/>
        </w:rPr>
        <w:instrText xml:space="preserve"> SEQ Table \* ARABIC </w:instrText>
      </w:r>
      <w:r w:rsidRPr="004F6DB4">
        <w:rPr>
          <w:sz w:val="20"/>
          <w:szCs w:val="20"/>
        </w:rPr>
        <w:fldChar w:fldCharType="separate"/>
      </w:r>
      <w:r w:rsidR="00AD4785">
        <w:rPr>
          <w:noProof/>
          <w:sz w:val="20"/>
          <w:szCs w:val="20"/>
        </w:rPr>
        <w:t>6</w:t>
      </w:r>
      <w:r w:rsidRPr="004F6DB4">
        <w:rPr>
          <w:sz w:val="20"/>
          <w:szCs w:val="20"/>
        </w:rPr>
        <w:fldChar w:fldCharType="end"/>
      </w:r>
      <w:bookmarkEnd w:id="39"/>
      <w:r w:rsidRPr="004F6DB4">
        <w:rPr>
          <w:sz w:val="20"/>
          <w:szCs w:val="20"/>
        </w:rPr>
        <w:t>: Off-road Emissions Sources and Methodologies</w:t>
      </w:r>
    </w:p>
    <w:tbl>
      <w:tblPr>
        <w:tblStyle w:val="AlternatingRows3"/>
        <w:tblW w:w="0" w:type="auto"/>
        <w:tblLook w:val="04A0" w:firstRow="1" w:lastRow="0" w:firstColumn="1" w:lastColumn="0" w:noHBand="0" w:noVBand="1"/>
      </w:tblPr>
      <w:tblGrid>
        <w:gridCol w:w="2925"/>
        <w:gridCol w:w="3171"/>
        <w:gridCol w:w="2004"/>
      </w:tblGrid>
      <w:tr w:rsidR="00C72363" w:rsidRPr="005F76C3" w14:paraId="7AB0F3B6" w14:textId="1A067E0F" w:rsidTr="005F76C3">
        <w:trPr>
          <w:cnfStyle w:val="100000000000" w:firstRow="1" w:lastRow="0" w:firstColumn="0" w:lastColumn="0" w:oddVBand="0" w:evenVBand="0" w:oddHBand="0" w:evenHBand="0" w:firstRowFirstColumn="0" w:firstRowLastColumn="0" w:lastRowFirstColumn="0" w:lastRowLastColumn="0"/>
        </w:trPr>
        <w:tc>
          <w:tcPr>
            <w:tcW w:w="2925" w:type="dxa"/>
          </w:tcPr>
          <w:p w14:paraId="7BB4DF1A" w14:textId="5C33BFF2" w:rsidR="00C72363" w:rsidRPr="005F76C3" w:rsidRDefault="00CF52BB" w:rsidP="00C72363">
            <w:pPr>
              <w:rPr>
                <w:rFonts w:ascii="Times New Roman" w:hAnsi="Times New Roman" w:cs="Times New Roman"/>
                <w:b w:val="0"/>
                <w:bCs/>
                <w:sz w:val="20"/>
                <w:szCs w:val="22"/>
              </w:rPr>
            </w:pPr>
            <w:r w:rsidRPr="005F76C3">
              <w:rPr>
                <w:rFonts w:ascii="Times New Roman" w:hAnsi="Times New Roman" w:cs="Times New Roman"/>
                <w:bCs/>
                <w:sz w:val="20"/>
                <w:szCs w:val="22"/>
              </w:rPr>
              <w:t>Off-Road Mobile</w:t>
            </w:r>
            <w:r w:rsidR="00C72363" w:rsidRPr="005F76C3">
              <w:rPr>
                <w:rFonts w:ascii="Times New Roman" w:hAnsi="Times New Roman" w:cs="Times New Roman"/>
                <w:bCs/>
                <w:sz w:val="20"/>
                <w:szCs w:val="22"/>
              </w:rPr>
              <w:t xml:space="preserve"> Emission Source</w:t>
            </w:r>
          </w:p>
        </w:tc>
        <w:tc>
          <w:tcPr>
            <w:tcW w:w="3171" w:type="dxa"/>
          </w:tcPr>
          <w:p w14:paraId="64DFD9BC" w14:textId="77777777" w:rsidR="00C72363" w:rsidRPr="005F76C3" w:rsidRDefault="00C72363" w:rsidP="00C72363">
            <w:pPr>
              <w:rPr>
                <w:rFonts w:ascii="Times New Roman" w:hAnsi="Times New Roman" w:cs="Times New Roman"/>
                <w:b w:val="0"/>
                <w:bCs/>
                <w:sz w:val="20"/>
                <w:szCs w:val="22"/>
              </w:rPr>
            </w:pPr>
            <w:r w:rsidRPr="005F76C3">
              <w:rPr>
                <w:rFonts w:ascii="Times New Roman" w:hAnsi="Times New Roman" w:cs="Times New Roman"/>
                <w:bCs/>
                <w:sz w:val="20"/>
                <w:szCs w:val="22"/>
              </w:rPr>
              <w:t>Proportionality Multiplier Source</w:t>
            </w:r>
          </w:p>
        </w:tc>
        <w:tc>
          <w:tcPr>
            <w:tcW w:w="2004" w:type="dxa"/>
          </w:tcPr>
          <w:p w14:paraId="061EBF13" w14:textId="10BFCAE2" w:rsidR="00C72363" w:rsidRPr="005F76C3" w:rsidRDefault="00C72363" w:rsidP="00C72363">
            <w:pPr>
              <w:rPr>
                <w:rFonts w:ascii="Times New Roman" w:hAnsi="Times New Roman" w:cs="Times New Roman"/>
                <w:b w:val="0"/>
                <w:bCs/>
                <w:sz w:val="20"/>
                <w:szCs w:val="22"/>
              </w:rPr>
            </w:pPr>
            <w:r w:rsidRPr="005F76C3">
              <w:rPr>
                <w:rFonts w:ascii="Times New Roman" w:hAnsi="Times New Roman" w:cs="Times New Roman"/>
                <w:bCs/>
                <w:sz w:val="20"/>
                <w:szCs w:val="22"/>
              </w:rPr>
              <w:t>Category</w:t>
            </w:r>
          </w:p>
        </w:tc>
      </w:tr>
      <w:tr w:rsidR="00C72363" w:rsidRPr="005F76C3" w14:paraId="62749DDD" w14:textId="0B08B0DC" w:rsidTr="005F76C3">
        <w:trPr>
          <w:cnfStyle w:val="000000100000" w:firstRow="0" w:lastRow="0" w:firstColumn="0" w:lastColumn="0" w:oddVBand="0" w:evenVBand="0" w:oddHBand="1" w:evenHBand="0" w:firstRowFirstColumn="0" w:firstRowLastColumn="0" w:lastRowFirstColumn="0" w:lastRowLastColumn="0"/>
        </w:trPr>
        <w:tc>
          <w:tcPr>
            <w:tcW w:w="2925" w:type="dxa"/>
          </w:tcPr>
          <w:p w14:paraId="718274F7" w14:textId="77777777"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Commercial Activity</w:t>
            </w:r>
          </w:p>
        </w:tc>
        <w:tc>
          <w:tcPr>
            <w:tcW w:w="3171" w:type="dxa"/>
          </w:tcPr>
          <w:p w14:paraId="34CE1E7E" w14:textId="77777777"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Retail Jobs Ratio</w:t>
            </w:r>
          </w:p>
        </w:tc>
        <w:tc>
          <w:tcPr>
            <w:tcW w:w="2004" w:type="dxa"/>
          </w:tcPr>
          <w:p w14:paraId="67759F71" w14:textId="28D6E797"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Commercial</w:t>
            </w:r>
          </w:p>
        </w:tc>
      </w:tr>
      <w:tr w:rsidR="00C72363" w:rsidRPr="005F76C3" w14:paraId="4C366187" w14:textId="4C0BDF8B" w:rsidTr="005F76C3">
        <w:trPr>
          <w:cnfStyle w:val="000000010000" w:firstRow="0" w:lastRow="0" w:firstColumn="0" w:lastColumn="0" w:oddVBand="0" w:evenVBand="0" w:oddHBand="0" w:evenHBand="1" w:firstRowFirstColumn="0" w:firstRowLastColumn="0" w:lastRowFirstColumn="0" w:lastRowLastColumn="0"/>
        </w:trPr>
        <w:tc>
          <w:tcPr>
            <w:tcW w:w="2925" w:type="dxa"/>
          </w:tcPr>
          <w:p w14:paraId="2ED91C2D" w14:textId="77777777"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Industrial Activity</w:t>
            </w:r>
          </w:p>
        </w:tc>
        <w:tc>
          <w:tcPr>
            <w:tcW w:w="3171" w:type="dxa"/>
          </w:tcPr>
          <w:p w14:paraId="5A1AAB9C" w14:textId="77777777"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Manufacturing Jobs Ratio</w:t>
            </w:r>
          </w:p>
        </w:tc>
        <w:tc>
          <w:tcPr>
            <w:tcW w:w="2004" w:type="dxa"/>
          </w:tcPr>
          <w:p w14:paraId="7E8BA4E5" w14:textId="577F5B21"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Industrial</w:t>
            </w:r>
          </w:p>
        </w:tc>
      </w:tr>
      <w:tr w:rsidR="00C72363" w:rsidRPr="005F76C3" w14:paraId="1509D8DC" w14:textId="7FD8E09E" w:rsidTr="005F76C3">
        <w:trPr>
          <w:cnfStyle w:val="000000100000" w:firstRow="0" w:lastRow="0" w:firstColumn="0" w:lastColumn="0" w:oddVBand="0" w:evenVBand="0" w:oddHBand="1" w:evenHBand="0" w:firstRowFirstColumn="0" w:firstRowLastColumn="0" w:lastRowFirstColumn="0" w:lastRowLastColumn="0"/>
        </w:trPr>
        <w:tc>
          <w:tcPr>
            <w:tcW w:w="2925" w:type="dxa"/>
          </w:tcPr>
          <w:p w14:paraId="5D485A6C" w14:textId="77777777"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Lawn and Garden</w:t>
            </w:r>
          </w:p>
        </w:tc>
        <w:tc>
          <w:tcPr>
            <w:tcW w:w="3171" w:type="dxa"/>
          </w:tcPr>
          <w:p w14:paraId="3BC1CE08" w14:textId="77777777" w:rsidR="00C72363" w:rsidRPr="005F76C3" w:rsidRDefault="00C72363" w:rsidP="00C03DCB">
            <w:pPr>
              <w:rPr>
                <w:rFonts w:ascii="Times New Roman" w:hAnsi="Times New Roman" w:cs="Times New Roman"/>
                <w:sz w:val="20"/>
                <w:szCs w:val="22"/>
              </w:rPr>
            </w:pPr>
            <w:r w:rsidRPr="005F76C3">
              <w:rPr>
                <w:rFonts w:ascii="Times New Roman" w:hAnsi="Times New Roman" w:cs="Times New Roman"/>
                <w:sz w:val="20"/>
                <w:szCs w:val="22"/>
              </w:rPr>
              <w:t xml:space="preserve">Percentage of Permeable Surface Area </w:t>
            </w:r>
          </w:p>
        </w:tc>
        <w:tc>
          <w:tcPr>
            <w:tcW w:w="2004" w:type="dxa"/>
          </w:tcPr>
          <w:p w14:paraId="3E2E08A8" w14:textId="5110623E" w:rsidR="00C72363" w:rsidRPr="005F76C3" w:rsidRDefault="00B90ECA" w:rsidP="00C03DCB">
            <w:pPr>
              <w:rPr>
                <w:rFonts w:ascii="Times New Roman" w:hAnsi="Times New Roman" w:cs="Times New Roman"/>
                <w:sz w:val="20"/>
                <w:szCs w:val="22"/>
              </w:rPr>
            </w:pPr>
            <w:r w:rsidRPr="005F76C3">
              <w:rPr>
                <w:rFonts w:ascii="Times New Roman" w:hAnsi="Times New Roman" w:cs="Times New Roman"/>
                <w:sz w:val="20"/>
                <w:szCs w:val="22"/>
              </w:rPr>
              <w:t>Commercial</w:t>
            </w:r>
          </w:p>
        </w:tc>
      </w:tr>
      <w:tr w:rsidR="00481A3F" w:rsidRPr="005F76C3" w14:paraId="504A8E66" w14:textId="77777777" w:rsidTr="005F76C3">
        <w:trPr>
          <w:cnfStyle w:val="000000010000" w:firstRow="0" w:lastRow="0" w:firstColumn="0" w:lastColumn="0" w:oddVBand="0" w:evenVBand="0" w:oddHBand="0" w:evenHBand="1" w:firstRowFirstColumn="0" w:firstRowLastColumn="0" w:lastRowFirstColumn="0" w:lastRowLastColumn="0"/>
        </w:trPr>
        <w:tc>
          <w:tcPr>
            <w:tcW w:w="2925" w:type="dxa"/>
          </w:tcPr>
          <w:p w14:paraId="528178C6" w14:textId="39D84277" w:rsidR="00481A3F" w:rsidRPr="005F76C3" w:rsidRDefault="00481A3F" w:rsidP="00C03DCB">
            <w:pPr>
              <w:rPr>
                <w:rFonts w:ascii="Times New Roman" w:hAnsi="Times New Roman" w:cs="Times New Roman"/>
                <w:sz w:val="20"/>
                <w:szCs w:val="22"/>
              </w:rPr>
            </w:pPr>
            <w:r w:rsidRPr="005F76C3">
              <w:rPr>
                <w:rFonts w:ascii="Times New Roman" w:hAnsi="Times New Roman" w:cs="Times New Roman"/>
                <w:sz w:val="20"/>
                <w:szCs w:val="22"/>
              </w:rPr>
              <w:t>Construction</w:t>
            </w:r>
          </w:p>
        </w:tc>
        <w:tc>
          <w:tcPr>
            <w:tcW w:w="3171" w:type="dxa"/>
          </w:tcPr>
          <w:p w14:paraId="4C032569" w14:textId="2BA378EB" w:rsidR="00481A3F" w:rsidRPr="005F76C3" w:rsidRDefault="00481A3F" w:rsidP="00C03DCB">
            <w:pPr>
              <w:rPr>
                <w:rFonts w:ascii="Times New Roman" w:hAnsi="Times New Roman" w:cs="Times New Roman"/>
                <w:sz w:val="20"/>
                <w:szCs w:val="22"/>
              </w:rPr>
            </w:pPr>
            <w:r w:rsidRPr="005F76C3">
              <w:rPr>
                <w:rFonts w:ascii="Times New Roman" w:hAnsi="Times New Roman" w:cs="Times New Roman"/>
                <w:sz w:val="20"/>
                <w:szCs w:val="22"/>
              </w:rPr>
              <w:t>PA of NY WIP Method</w:t>
            </w:r>
          </w:p>
        </w:tc>
        <w:tc>
          <w:tcPr>
            <w:tcW w:w="2004" w:type="dxa"/>
          </w:tcPr>
          <w:p w14:paraId="2FBF130C" w14:textId="76125F20" w:rsidR="00481A3F" w:rsidRPr="005F76C3" w:rsidRDefault="00481A3F" w:rsidP="00C03DCB">
            <w:pPr>
              <w:rPr>
                <w:rFonts w:ascii="Times New Roman" w:hAnsi="Times New Roman" w:cs="Times New Roman"/>
                <w:sz w:val="20"/>
                <w:szCs w:val="22"/>
              </w:rPr>
            </w:pPr>
            <w:r w:rsidRPr="005F76C3">
              <w:rPr>
                <w:rFonts w:ascii="Times New Roman" w:hAnsi="Times New Roman" w:cs="Times New Roman"/>
                <w:sz w:val="20"/>
                <w:szCs w:val="22"/>
              </w:rPr>
              <w:t>Commercial</w:t>
            </w:r>
          </w:p>
        </w:tc>
      </w:tr>
    </w:tbl>
    <w:p w14:paraId="38414302" w14:textId="77777777" w:rsidR="00BE013F" w:rsidRDefault="00BE013F" w:rsidP="00BE013F">
      <w:pPr>
        <w:pStyle w:val="NoSpacing"/>
      </w:pPr>
    </w:p>
    <w:p w14:paraId="0F212849" w14:textId="77777777" w:rsidR="00C8101E" w:rsidRDefault="00C8101E" w:rsidP="001850F9">
      <w:pPr>
        <w:pStyle w:val="ParaText"/>
        <w:rPr>
          <w:b/>
          <w:bCs/>
        </w:rPr>
      </w:pPr>
    </w:p>
    <w:p w14:paraId="3230FE46" w14:textId="7B3DDBAB" w:rsidR="001850F9" w:rsidRDefault="001850F9" w:rsidP="001850F9">
      <w:pPr>
        <w:pStyle w:val="ParaText"/>
        <w:rPr>
          <w:b/>
          <w:bCs/>
        </w:rPr>
      </w:pPr>
      <w:r w:rsidRPr="003864BE">
        <w:rPr>
          <w:b/>
          <w:bCs/>
        </w:rPr>
        <w:lastRenderedPageBreak/>
        <w:t>GPC</w:t>
      </w:r>
      <w:r w:rsidRPr="00400A14">
        <w:t xml:space="preserve"> </w:t>
      </w:r>
      <w:r w:rsidRPr="003864BE">
        <w:rPr>
          <w:b/>
          <w:bCs/>
        </w:rPr>
        <w:t>Quantification Method Used</w:t>
      </w:r>
    </w:p>
    <w:p w14:paraId="1C978691" w14:textId="484BA268" w:rsidR="001850F9" w:rsidRDefault="00046551" w:rsidP="00BE013F">
      <w:pPr>
        <w:pStyle w:val="ParaText"/>
      </w:pPr>
      <w:r>
        <w:t xml:space="preserve">In accordance with Section </w:t>
      </w:r>
      <w:r w:rsidR="00BE013F">
        <w:t xml:space="preserve">6.3 and </w:t>
      </w:r>
      <w:r>
        <w:t>7.7</w:t>
      </w:r>
      <w:r w:rsidR="001850F9" w:rsidRPr="00400A14">
        <w:t xml:space="preserve"> of the GPC, the </w:t>
      </w:r>
      <w:r w:rsidR="00672D69">
        <w:t>community-wide inventory</w:t>
      </w:r>
      <w:r w:rsidR="001850F9" w:rsidRPr="00400A14">
        <w:t xml:space="preserve"> </w:t>
      </w:r>
      <w:r w:rsidR="00672D69">
        <w:t>used</w:t>
      </w:r>
      <w:r w:rsidR="001850F9" w:rsidRPr="00400A14">
        <w:t xml:space="preserve"> the </w:t>
      </w:r>
      <w:r w:rsidR="00BE013F">
        <w:t>modeling tool MOVES2014a</w:t>
      </w:r>
      <w:r w:rsidR="001850F9" w:rsidRPr="00400A14">
        <w:t xml:space="preserve"> data, disaggregated by sub-sector.</w:t>
      </w:r>
      <w:r w:rsidR="00533598">
        <w:t xml:space="preserve"> Construction data will </w:t>
      </w:r>
      <w:r w:rsidR="00631613">
        <w:t>be using</w:t>
      </w:r>
      <w:r w:rsidR="00533598">
        <w:t xml:space="preserve"> industry market-based calculation.</w:t>
      </w:r>
    </w:p>
    <w:p w14:paraId="621EA42D" w14:textId="498BF3CF" w:rsidR="001850F9" w:rsidRDefault="001850F9" w:rsidP="00BE013F">
      <w:pPr>
        <w:pStyle w:val="ParaText"/>
      </w:pPr>
      <w:r>
        <w:t>E</w:t>
      </w:r>
      <w:r w:rsidRPr="001850F9">
        <w:t xml:space="preserve">missions factor modeling parameters </w:t>
      </w:r>
      <w:r w:rsidR="00BE013F">
        <w:t xml:space="preserve">in MOVES2014a </w:t>
      </w:r>
      <w:r w:rsidRPr="001850F9">
        <w:t xml:space="preserve">were developed and used to produce emissions factors </w:t>
      </w:r>
      <w:r w:rsidR="00BE013F">
        <w:t xml:space="preserve">and </w:t>
      </w:r>
      <w:r>
        <w:t xml:space="preserve">emissions output </w:t>
      </w:r>
      <w:r w:rsidR="00390D23">
        <w:t xml:space="preserve">was </w:t>
      </w:r>
      <w:r>
        <w:t xml:space="preserve">restricted to the Middlesex County geographic bounds, the smallest subdivision possible in the model. </w:t>
      </w:r>
    </w:p>
    <w:p w14:paraId="3C0B684F" w14:textId="29B3052F" w:rsidR="00620427" w:rsidRDefault="001850F9" w:rsidP="001850F9">
      <w:pPr>
        <w:pStyle w:val="Heading3"/>
        <w:tabs>
          <w:tab w:val="clear" w:pos="907"/>
          <w:tab w:val="num" w:pos="1080"/>
        </w:tabs>
        <w:spacing w:before="0" w:after="240"/>
        <w:ind w:left="1080" w:hanging="1080"/>
      </w:pPr>
      <w:r>
        <w:t xml:space="preserve"> </w:t>
      </w:r>
      <w:r w:rsidR="00620427">
        <w:t>Transportation – On-Road</w:t>
      </w:r>
      <w:bookmarkEnd w:id="38"/>
    </w:p>
    <w:p w14:paraId="72FE96DB" w14:textId="0D40FC61" w:rsidR="00DC1D22" w:rsidRDefault="0095484C" w:rsidP="00DC1D22">
      <w:pPr>
        <w:pStyle w:val="ParaText"/>
        <w:spacing w:before="240"/>
      </w:pPr>
      <w:bookmarkStart w:id="40" w:name="_Toc457892266"/>
      <w:r w:rsidRPr="0095484C">
        <w:rPr>
          <w:b/>
          <w:bCs/>
        </w:rPr>
        <w:t>Data</w:t>
      </w:r>
      <w:r w:rsidR="00DC1D22">
        <w:rPr>
          <w:b/>
          <w:bCs/>
        </w:rPr>
        <w:t xml:space="preserve"> Summary</w:t>
      </w:r>
    </w:p>
    <w:p w14:paraId="1C2FF4F0" w14:textId="1522CC26" w:rsidR="0095484C" w:rsidRDefault="0095484C" w:rsidP="00DC1D22">
      <w:pPr>
        <w:pStyle w:val="ParaText"/>
        <w:spacing w:before="240"/>
      </w:pPr>
      <w:r w:rsidRPr="0095484C">
        <w:t xml:space="preserve">The Massachusetts Vehicle Census (MAVC) is a catalog of information about vehicle registered in the Commonwealth from 2009 to 2014. The Vehicle Census combines information from vehicle registrations, inspection records, mileage ratings, and other sources to document the ownership and mileage history of each vehicle. </w:t>
      </w:r>
      <w:r>
        <w:t>The</w:t>
      </w:r>
      <w:r w:rsidRPr="0095484C">
        <w:t xml:space="preserve"> </w:t>
      </w:r>
      <w:r>
        <w:t xml:space="preserve">MAVC was mined </w:t>
      </w:r>
      <w:r w:rsidRPr="0095484C">
        <w:t xml:space="preserve">for passenger and commercial vehicles garaged in Cambridge from vehicle inspections during quarter 2 of 2012. </w:t>
      </w:r>
      <w:r>
        <w:t>The data includes</w:t>
      </w:r>
      <w:r w:rsidRPr="0095484C">
        <w:t xml:space="preserve"> </w:t>
      </w:r>
      <w:r w:rsidR="00390D23">
        <w:t xml:space="preserve">cars </w:t>
      </w:r>
      <w:r w:rsidRPr="0095484C">
        <w:t xml:space="preserve">garaged in Cambridge </w:t>
      </w:r>
      <w:r>
        <w:t>includ</w:t>
      </w:r>
      <w:r w:rsidR="00390D23">
        <w:t>ing</w:t>
      </w:r>
      <w:r>
        <w:t xml:space="preserve"> </w:t>
      </w:r>
      <w:r w:rsidRPr="0095484C">
        <w:t xml:space="preserve">commercial vehicle fleets and rental cars available in Cambridge. </w:t>
      </w:r>
    </w:p>
    <w:p w14:paraId="226F3150" w14:textId="217FBEEA" w:rsidR="0095484C" w:rsidRDefault="00390D23" w:rsidP="00C8101E">
      <w:pPr>
        <w:pStyle w:val="ParaText"/>
      </w:pPr>
      <w:r>
        <w:t xml:space="preserve">The </w:t>
      </w:r>
      <w:r w:rsidR="0095484C">
        <w:t xml:space="preserve">MAVC provided the </w:t>
      </w:r>
      <w:r w:rsidR="00246DD1">
        <w:t xml:space="preserve">data on </w:t>
      </w:r>
      <w:r>
        <w:t xml:space="preserve">the </w:t>
      </w:r>
      <w:r w:rsidR="00246DD1">
        <w:t>number of vehicles</w:t>
      </w:r>
      <w:r>
        <w:t xml:space="preserve"> in Cambridge</w:t>
      </w:r>
      <w:r w:rsidR="00246DD1">
        <w:t xml:space="preserve">, average vehicle miles travelled (VMT), average fuel efficiency of vehicles and fuel consumption of vehicles broken down by both fuel type and passenger vs. commercial vehicles. Fuel types included gasoline, diesel, flex fuel, hybrid, and electric. </w:t>
      </w:r>
      <w:r w:rsidR="005D1313">
        <w:t xml:space="preserve">See </w:t>
      </w:r>
      <w:r w:rsidR="005D1313" w:rsidRPr="002A134C">
        <w:fldChar w:fldCharType="begin"/>
      </w:r>
      <w:r w:rsidR="005D1313" w:rsidRPr="002A134C">
        <w:instrText xml:space="preserve"> REF _Ref468886311 \h </w:instrText>
      </w:r>
      <w:r w:rsidR="002A134C" w:rsidRPr="002A134C">
        <w:instrText xml:space="preserve"> \* MERGEFORMAT </w:instrText>
      </w:r>
      <w:r w:rsidR="005D1313" w:rsidRPr="002A134C">
        <w:fldChar w:fldCharType="separate"/>
      </w:r>
      <w:r w:rsidR="00631613" w:rsidRPr="00631613">
        <w:t xml:space="preserve">Table </w:t>
      </w:r>
      <w:r w:rsidR="00631613" w:rsidRPr="00631613">
        <w:rPr>
          <w:noProof/>
        </w:rPr>
        <w:t>7</w:t>
      </w:r>
      <w:r w:rsidR="005D1313" w:rsidRPr="002A134C">
        <w:fldChar w:fldCharType="end"/>
      </w:r>
      <w:r w:rsidR="005D1313">
        <w:t xml:space="preserve"> for summary of data collected. </w:t>
      </w:r>
    </w:p>
    <w:p w14:paraId="09482A9F" w14:textId="4C98987F" w:rsidR="00246DD1" w:rsidRPr="00226E4C" w:rsidRDefault="00246DD1" w:rsidP="00246DD1">
      <w:pPr>
        <w:pStyle w:val="Caption"/>
        <w:rPr>
          <w:sz w:val="20"/>
          <w:szCs w:val="20"/>
        </w:rPr>
      </w:pPr>
      <w:bookmarkStart w:id="41" w:name="_Ref468886311"/>
      <w:r w:rsidRPr="00226E4C">
        <w:rPr>
          <w:sz w:val="20"/>
          <w:szCs w:val="20"/>
        </w:rPr>
        <w:t xml:space="preserve">Table </w:t>
      </w:r>
      <w:r w:rsidRPr="00226E4C">
        <w:rPr>
          <w:sz w:val="20"/>
          <w:szCs w:val="20"/>
        </w:rPr>
        <w:fldChar w:fldCharType="begin"/>
      </w:r>
      <w:r w:rsidRPr="00226E4C">
        <w:rPr>
          <w:sz w:val="20"/>
          <w:szCs w:val="20"/>
        </w:rPr>
        <w:instrText xml:space="preserve"> SEQ Table \* ARABIC </w:instrText>
      </w:r>
      <w:r w:rsidRPr="00226E4C">
        <w:rPr>
          <w:sz w:val="20"/>
          <w:szCs w:val="20"/>
        </w:rPr>
        <w:fldChar w:fldCharType="separate"/>
      </w:r>
      <w:r w:rsidR="00AD4785">
        <w:rPr>
          <w:noProof/>
          <w:sz w:val="20"/>
          <w:szCs w:val="20"/>
        </w:rPr>
        <w:t>7</w:t>
      </w:r>
      <w:r w:rsidRPr="00226E4C">
        <w:rPr>
          <w:sz w:val="20"/>
          <w:szCs w:val="20"/>
        </w:rPr>
        <w:fldChar w:fldCharType="end"/>
      </w:r>
      <w:bookmarkEnd w:id="41"/>
      <w:r w:rsidRPr="00226E4C">
        <w:rPr>
          <w:sz w:val="20"/>
          <w:szCs w:val="20"/>
        </w:rPr>
        <w:t>: Detailed Attributes Reported for On-road Vehicles Garaged in Cambridge</w:t>
      </w:r>
    </w:p>
    <w:tbl>
      <w:tblPr>
        <w:tblStyle w:val="AlternatingRows3"/>
        <w:tblW w:w="5000" w:type="pct"/>
        <w:tblLook w:val="04A0" w:firstRow="1" w:lastRow="0" w:firstColumn="1" w:lastColumn="0" w:noHBand="0" w:noVBand="1"/>
      </w:tblPr>
      <w:tblGrid>
        <w:gridCol w:w="3200"/>
        <w:gridCol w:w="6150"/>
      </w:tblGrid>
      <w:tr w:rsidR="00246DD1" w:rsidRPr="005F76C3" w14:paraId="799A2440" w14:textId="77777777" w:rsidTr="005F76C3">
        <w:trPr>
          <w:cnfStyle w:val="100000000000" w:firstRow="1" w:lastRow="0" w:firstColumn="0" w:lastColumn="0" w:oddVBand="0" w:evenVBand="0" w:oddHBand="0" w:evenHBand="0" w:firstRowFirstColumn="0" w:firstRowLastColumn="0" w:lastRowFirstColumn="0" w:lastRowLastColumn="0"/>
          <w:trHeight w:val="300"/>
        </w:trPr>
        <w:tc>
          <w:tcPr>
            <w:tcW w:w="1711" w:type="pct"/>
            <w:noWrap/>
            <w:hideMark/>
          </w:tcPr>
          <w:p w14:paraId="4AC6D9E8" w14:textId="77777777" w:rsidR="00246DD1" w:rsidRPr="005F76C3" w:rsidRDefault="00246DD1" w:rsidP="00852655">
            <w:pPr>
              <w:rPr>
                <w:rFonts w:ascii="Times New Roman" w:hAnsi="Times New Roman" w:cs="Times New Roman"/>
                <w:b w:val="0"/>
                <w:bCs/>
                <w:color w:val="FFFFFF"/>
                <w:sz w:val="20"/>
                <w:szCs w:val="22"/>
              </w:rPr>
            </w:pPr>
            <w:r w:rsidRPr="005F76C3">
              <w:rPr>
                <w:rFonts w:ascii="Times New Roman" w:hAnsi="Times New Roman" w:cs="Times New Roman"/>
                <w:bCs/>
                <w:color w:val="FFFFFF"/>
                <w:sz w:val="20"/>
                <w:szCs w:val="22"/>
              </w:rPr>
              <w:t>Attribute</w:t>
            </w:r>
          </w:p>
        </w:tc>
        <w:tc>
          <w:tcPr>
            <w:tcW w:w="3289" w:type="pct"/>
            <w:hideMark/>
          </w:tcPr>
          <w:p w14:paraId="49A27CCA" w14:textId="77777777" w:rsidR="00246DD1" w:rsidRPr="005F76C3" w:rsidRDefault="00246DD1" w:rsidP="00852655">
            <w:pPr>
              <w:rPr>
                <w:rFonts w:ascii="Times New Roman" w:hAnsi="Times New Roman" w:cs="Times New Roman"/>
                <w:b w:val="0"/>
                <w:bCs/>
                <w:color w:val="FFFFFF"/>
                <w:sz w:val="20"/>
                <w:szCs w:val="22"/>
              </w:rPr>
            </w:pPr>
            <w:r w:rsidRPr="005F76C3">
              <w:rPr>
                <w:rFonts w:ascii="Times New Roman" w:hAnsi="Times New Roman" w:cs="Times New Roman"/>
                <w:bCs/>
                <w:color w:val="FFFFFF"/>
                <w:sz w:val="20"/>
                <w:szCs w:val="22"/>
              </w:rPr>
              <w:t>Details</w:t>
            </w:r>
          </w:p>
        </w:tc>
      </w:tr>
      <w:tr w:rsidR="00246DD1" w:rsidRPr="005F76C3" w14:paraId="413958BA" w14:textId="77777777" w:rsidTr="005F76C3">
        <w:trPr>
          <w:cnfStyle w:val="000000100000" w:firstRow="0" w:lastRow="0" w:firstColumn="0" w:lastColumn="0" w:oddVBand="0" w:evenVBand="0" w:oddHBand="1" w:evenHBand="0" w:firstRowFirstColumn="0" w:firstRowLastColumn="0" w:lastRowFirstColumn="0" w:lastRowLastColumn="0"/>
          <w:trHeight w:val="300"/>
        </w:trPr>
        <w:tc>
          <w:tcPr>
            <w:tcW w:w="1711" w:type="pct"/>
            <w:noWrap/>
            <w:hideMark/>
          </w:tcPr>
          <w:p w14:paraId="296DA768"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Count</w:t>
            </w:r>
          </w:p>
        </w:tc>
        <w:tc>
          <w:tcPr>
            <w:tcW w:w="3289" w:type="pct"/>
            <w:hideMark/>
          </w:tcPr>
          <w:p w14:paraId="6EBC19DE" w14:textId="2C79E6E2" w:rsidR="00246DD1" w:rsidRPr="005F76C3" w:rsidRDefault="00246DD1" w:rsidP="00246DD1">
            <w:pPr>
              <w:rPr>
                <w:rFonts w:ascii="Times New Roman" w:hAnsi="Times New Roman" w:cs="Times New Roman"/>
                <w:color w:val="000000"/>
                <w:sz w:val="20"/>
                <w:szCs w:val="22"/>
              </w:rPr>
            </w:pPr>
            <w:r w:rsidRPr="005F76C3">
              <w:rPr>
                <w:rFonts w:ascii="Times New Roman" w:hAnsi="Times New Roman" w:cs="Times New Roman"/>
                <w:color w:val="000000"/>
                <w:sz w:val="20"/>
                <w:szCs w:val="22"/>
              </w:rPr>
              <w:t xml:space="preserve">Total vehicles based town vehicle is registered in </w:t>
            </w:r>
          </w:p>
        </w:tc>
      </w:tr>
      <w:tr w:rsidR="00246DD1" w:rsidRPr="005F76C3" w14:paraId="7FB399D0" w14:textId="77777777" w:rsidTr="005F76C3">
        <w:trPr>
          <w:cnfStyle w:val="000000010000" w:firstRow="0" w:lastRow="0" w:firstColumn="0" w:lastColumn="0" w:oddVBand="0" w:evenVBand="0" w:oddHBand="0" w:evenHBand="1" w:firstRowFirstColumn="0" w:firstRowLastColumn="0" w:lastRowFirstColumn="0" w:lastRowLastColumn="0"/>
          <w:trHeight w:val="300"/>
        </w:trPr>
        <w:tc>
          <w:tcPr>
            <w:tcW w:w="1711" w:type="pct"/>
            <w:noWrap/>
            <w:hideMark/>
          </w:tcPr>
          <w:p w14:paraId="500DB3CE"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Miles per Day</w:t>
            </w:r>
          </w:p>
        </w:tc>
        <w:tc>
          <w:tcPr>
            <w:tcW w:w="3289" w:type="pct"/>
            <w:hideMark/>
          </w:tcPr>
          <w:p w14:paraId="38B7D6AE" w14:textId="60A81A0B"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daily mileage for vehicles with a valid inspection record</w:t>
            </w:r>
          </w:p>
        </w:tc>
      </w:tr>
      <w:tr w:rsidR="00246DD1" w:rsidRPr="005F76C3" w14:paraId="5378AC38" w14:textId="77777777" w:rsidTr="005F76C3">
        <w:trPr>
          <w:cnfStyle w:val="000000100000" w:firstRow="0" w:lastRow="0" w:firstColumn="0" w:lastColumn="0" w:oddVBand="0" w:evenVBand="0" w:oddHBand="1" w:evenHBand="0" w:firstRowFirstColumn="0" w:firstRowLastColumn="0" w:lastRowFirstColumn="0" w:lastRowLastColumn="0"/>
          <w:trHeight w:val="476"/>
        </w:trPr>
        <w:tc>
          <w:tcPr>
            <w:tcW w:w="1711" w:type="pct"/>
            <w:noWrap/>
            <w:hideMark/>
          </w:tcPr>
          <w:p w14:paraId="2820C124"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VMT per Day</w:t>
            </w:r>
          </w:p>
        </w:tc>
        <w:tc>
          <w:tcPr>
            <w:tcW w:w="3289" w:type="pct"/>
            <w:hideMark/>
          </w:tcPr>
          <w:p w14:paraId="0B9E503B"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daily mileage for vehicles with a valid inspection record multiplied by the vehicle count</w:t>
            </w:r>
          </w:p>
        </w:tc>
      </w:tr>
      <w:tr w:rsidR="00246DD1" w:rsidRPr="005F76C3" w14:paraId="4475A8FD" w14:textId="77777777" w:rsidTr="005F76C3">
        <w:trPr>
          <w:cnfStyle w:val="000000010000" w:firstRow="0" w:lastRow="0" w:firstColumn="0" w:lastColumn="0" w:oddVBand="0" w:evenVBand="0" w:oddHBand="0" w:evenHBand="1" w:firstRowFirstColumn="0" w:firstRowLastColumn="0" w:lastRowFirstColumn="0" w:lastRowLastColumn="0"/>
          <w:trHeight w:val="431"/>
        </w:trPr>
        <w:tc>
          <w:tcPr>
            <w:tcW w:w="1711" w:type="pct"/>
            <w:noWrap/>
            <w:hideMark/>
          </w:tcPr>
          <w:p w14:paraId="5773B071"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VMT per Year</w:t>
            </w:r>
          </w:p>
        </w:tc>
        <w:tc>
          <w:tcPr>
            <w:tcW w:w="3289" w:type="pct"/>
            <w:hideMark/>
          </w:tcPr>
          <w:p w14:paraId="0C44BF90"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daily mileage for vehicles with a valid inspection record multiplied by the vehicle count and by 366 (2012 was a leap year)</w:t>
            </w:r>
          </w:p>
        </w:tc>
      </w:tr>
      <w:tr w:rsidR="00246DD1" w:rsidRPr="005F76C3" w14:paraId="073DDCC2" w14:textId="77777777" w:rsidTr="005F76C3">
        <w:trPr>
          <w:cnfStyle w:val="000000100000" w:firstRow="0" w:lastRow="0" w:firstColumn="0" w:lastColumn="0" w:oddVBand="0" w:evenVBand="0" w:oddHBand="1" w:evenHBand="0" w:firstRowFirstColumn="0" w:firstRowLastColumn="0" w:lastRowFirstColumn="0" w:lastRowLastColumn="0"/>
          <w:trHeight w:val="440"/>
        </w:trPr>
        <w:tc>
          <w:tcPr>
            <w:tcW w:w="1711" w:type="pct"/>
            <w:noWrap/>
            <w:hideMark/>
          </w:tcPr>
          <w:p w14:paraId="70E0DC28"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VMT by Vehicle per Year</w:t>
            </w:r>
          </w:p>
        </w:tc>
        <w:tc>
          <w:tcPr>
            <w:tcW w:w="3289" w:type="pct"/>
            <w:hideMark/>
          </w:tcPr>
          <w:p w14:paraId="7D6ADA19"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annual mileage divided by the count of vehicles with a valid inspection record</w:t>
            </w:r>
          </w:p>
        </w:tc>
      </w:tr>
      <w:tr w:rsidR="00246DD1" w:rsidRPr="005F76C3" w14:paraId="10A78C5D" w14:textId="77777777" w:rsidTr="005F76C3">
        <w:trPr>
          <w:cnfStyle w:val="000000010000" w:firstRow="0" w:lastRow="0" w:firstColumn="0" w:lastColumn="0" w:oddVBand="0" w:evenVBand="0" w:oddHBand="0" w:evenHBand="1" w:firstRowFirstColumn="0" w:firstRowLastColumn="0" w:lastRowFirstColumn="0" w:lastRowLastColumn="0"/>
          <w:trHeight w:val="809"/>
        </w:trPr>
        <w:tc>
          <w:tcPr>
            <w:tcW w:w="1711" w:type="pct"/>
            <w:noWrap/>
            <w:hideMark/>
          </w:tcPr>
          <w:p w14:paraId="6B4AB2B3"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Fuel Efficiency (mpg)</w:t>
            </w:r>
          </w:p>
        </w:tc>
        <w:tc>
          <w:tcPr>
            <w:tcW w:w="3289" w:type="pct"/>
            <w:hideMark/>
          </w:tcPr>
          <w:p w14:paraId="2BB66E05"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Average fuel economy for vehicles with valid mileage estimates, weighted by average daily mileage. Calculated as total estimated fuel consumption (</w:t>
            </w:r>
            <w:proofErr w:type="spellStart"/>
            <w:r w:rsidRPr="005F76C3">
              <w:rPr>
                <w:rFonts w:ascii="Times New Roman" w:hAnsi="Times New Roman" w:cs="Times New Roman"/>
                <w:color w:val="000000"/>
                <w:sz w:val="20"/>
                <w:szCs w:val="22"/>
              </w:rPr>
              <w:t>gal_per_day</w:t>
            </w:r>
            <w:proofErr w:type="spellEnd"/>
            <w:r w:rsidRPr="005F76C3">
              <w:rPr>
                <w:rFonts w:ascii="Times New Roman" w:hAnsi="Times New Roman" w:cs="Times New Roman"/>
                <w:color w:val="000000"/>
                <w:sz w:val="20"/>
                <w:szCs w:val="22"/>
              </w:rPr>
              <w:t xml:space="preserve">) for vehicles with valid mileage estimates and fuel economy ratings, divided by total daily miles for same vehicles.  </w:t>
            </w:r>
          </w:p>
        </w:tc>
      </w:tr>
      <w:tr w:rsidR="00246DD1" w:rsidRPr="005F76C3" w14:paraId="480880F6" w14:textId="77777777" w:rsidTr="005F76C3">
        <w:trPr>
          <w:cnfStyle w:val="000000100000" w:firstRow="0" w:lastRow="0" w:firstColumn="0" w:lastColumn="0" w:oddVBand="0" w:evenVBand="0" w:oddHBand="1" w:evenHBand="0" w:firstRowFirstColumn="0" w:firstRowLastColumn="0" w:lastRowFirstColumn="0" w:lastRowLastColumn="0"/>
          <w:trHeight w:val="300"/>
        </w:trPr>
        <w:tc>
          <w:tcPr>
            <w:tcW w:w="1711" w:type="pct"/>
            <w:noWrap/>
            <w:hideMark/>
          </w:tcPr>
          <w:p w14:paraId="06C07766"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Fuel Consumption per Year</w:t>
            </w:r>
          </w:p>
        </w:tc>
        <w:tc>
          <w:tcPr>
            <w:tcW w:w="3289" w:type="pct"/>
            <w:hideMark/>
          </w:tcPr>
          <w:p w14:paraId="20B12C98" w14:textId="77777777" w:rsidR="00246DD1" w:rsidRPr="005F76C3" w:rsidRDefault="00246DD1" w:rsidP="00852655">
            <w:pPr>
              <w:rPr>
                <w:rFonts w:ascii="Times New Roman" w:hAnsi="Times New Roman" w:cs="Times New Roman"/>
                <w:color w:val="000000"/>
                <w:sz w:val="20"/>
                <w:szCs w:val="22"/>
              </w:rPr>
            </w:pPr>
            <w:r w:rsidRPr="005F76C3">
              <w:rPr>
                <w:rFonts w:ascii="Times New Roman" w:hAnsi="Times New Roman" w:cs="Times New Roman"/>
                <w:color w:val="000000"/>
                <w:sz w:val="20"/>
                <w:szCs w:val="22"/>
              </w:rPr>
              <w:t xml:space="preserve">Average VMT per year divided by the average fuel efficiency </w:t>
            </w:r>
          </w:p>
        </w:tc>
      </w:tr>
    </w:tbl>
    <w:p w14:paraId="482E8B3C" w14:textId="77777777" w:rsidR="00643706" w:rsidRDefault="00643706" w:rsidP="00392285">
      <w:pPr>
        <w:pStyle w:val="ParaText"/>
      </w:pPr>
    </w:p>
    <w:p w14:paraId="535E586F" w14:textId="1BD722EE" w:rsidR="004931DA" w:rsidRPr="00DC1D22" w:rsidRDefault="004931DA" w:rsidP="000036CD">
      <w:pPr>
        <w:pStyle w:val="ParaText"/>
        <w:rPr>
          <w:b/>
          <w:bCs/>
          <w:i/>
        </w:rPr>
      </w:pPr>
      <w:r w:rsidRPr="00DC1D22">
        <w:rPr>
          <w:b/>
          <w:bCs/>
          <w:i/>
        </w:rPr>
        <w:lastRenderedPageBreak/>
        <w:t>2010 Comparison with ACS Vehicle Availability Data</w:t>
      </w:r>
    </w:p>
    <w:p w14:paraId="752F2A6B" w14:textId="2DCE8F0A" w:rsidR="00643706" w:rsidRPr="00643706" w:rsidRDefault="002E6C39" w:rsidP="0010270A">
      <w:pPr>
        <w:pStyle w:val="ParaText"/>
      </w:pPr>
      <w:r>
        <w:t>T</w:t>
      </w:r>
      <w:r w:rsidR="005D1313" w:rsidRPr="005D1313">
        <w:t xml:space="preserve">o further explore the accuracy of the dataset, </w:t>
      </w:r>
      <w:r>
        <w:t>MAVC</w:t>
      </w:r>
      <w:r w:rsidR="005D1313" w:rsidRPr="005D1313">
        <w:t xml:space="preserve"> </w:t>
      </w:r>
      <w:r w:rsidR="00643706">
        <w:t xml:space="preserve">was compared </w:t>
      </w:r>
      <w:r w:rsidR="005D1313" w:rsidRPr="005D1313">
        <w:t>to the American Community Survey (ACS) vehicle availability data by census tract and Cambridge residential parking permit data from the City of Cambridge’s Department of Traffic, Parking, and Transportation.</w:t>
      </w:r>
      <w:r w:rsidR="00392285">
        <w:t xml:space="preserve"> </w:t>
      </w:r>
      <w:r w:rsidR="00643706" w:rsidRPr="00643706">
        <w:t>In 2015, MAPC conducted an analysis that com</w:t>
      </w:r>
      <w:r w:rsidR="00643706">
        <w:t>pared the MAVC</w:t>
      </w:r>
      <w:r w:rsidR="00643706" w:rsidRPr="00643706">
        <w:t xml:space="preserve"> to ACS Vehicle Availability</w:t>
      </w:r>
      <w:r w:rsidR="0010270A" w:rsidRPr="000A47ED">
        <w:rPr>
          <w:rStyle w:val="FootnoteReference"/>
          <w:sz w:val="18"/>
          <w:szCs w:val="18"/>
        </w:rPr>
        <w:footnoteReference w:id="9"/>
      </w:r>
      <w:r w:rsidR="00643706" w:rsidRPr="00643706">
        <w:t xml:space="preserve">. The ACS vehicle availability question </w:t>
      </w:r>
      <w:r>
        <w:t>was</w:t>
      </w:r>
      <w:r w:rsidR="00643706" w:rsidRPr="00643706">
        <w:t xml:space="preserve"> asked of occupied housing units. </w:t>
      </w:r>
      <w:r w:rsidR="00643706">
        <w:t>The data</w:t>
      </w:r>
      <w:r w:rsidR="00643706" w:rsidRPr="00643706">
        <w:t xml:space="preserve"> show</w:t>
      </w:r>
      <w:r w:rsidR="00643706">
        <w:t>s</w:t>
      </w:r>
      <w:r w:rsidR="00643706" w:rsidRPr="00643706">
        <w:t xml:space="preserve"> the number of passenger cars, vans, and pickup or panel trucks of one-ton capacity or less kept at home and available for the use of household members. Vehicles rented or leased for one month or more, company vehicles, and police and government vehicles </w:t>
      </w:r>
      <w:r>
        <w:t>we</w:t>
      </w:r>
      <w:r w:rsidR="00643706" w:rsidRPr="00643706">
        <w:t xml:space="preserve">re included if kept at home and used for non-business purposes. Dismantled or immobile vehicles </w:t>
      </w:r>
      <w:r>
        <w:t>we</w:t>
      </w:r>
      <w:r w:rsidR="00643706" w:rsidRPr="00643706">
        <w:t xml:space="preserve">re excluded. Vehicles kept at home but used only for business purposes also </w:t>
      </w:r>
      <w:r>
        <w:t>we</w:t>
      </w:r>
      <w:r w:rsidR="00643706" w:rsidRPr="00643706">
        <w:t>re excluded</w:t>
      </w:r>
      <w:r w:rsidR="00643706" w:rsidRPr="000A47ED">
        <w:rPr>
          <w:rStyle w:val="FootnoteReference"/>
          <w:sz w:val="18"/>
          <w:szCs w:val="18"/>
        </w:rPr>
        <w:footnoteReference w:id="10"/>
      </w:r>
      <w:r w:rsidR="00643706" w:rsidRPr="00643706">
        <w:t xml:space="preserve">. </w:t>
      </w:r>
    </w:p>
    <w:p w14:paraId="0685F88F" w14:textId="3538F311" w:rsidR="000036CD" w:rsidRDefault="00643706" w:rsidP="000036CD">
      <w:pPr>
        <w:pStyle w:val="ParaText"/>
      </w:pPr>
      <w:r w:rsidRPr="00643706">
        <w:t>MAPC found that the MAVC total vehicle estimate and the ACS vehicle availability estimate for the City of Cambridge were not statistically significantly different from one another. The difference between the estimates was 193 vehicles, which was less than a 1% difference from one another</w:t>
      </w:r>
      <w:r w:rsidR="000036CD">
        <w:t xml:space="preserve">. </w:t>
      </w:r>
      <w:r w:rsidR="000036CD" w:rsidRPr="002A134C">
        <w:t xml:space="preserve">See </w:t>
      </w:r>
      <w:r w:rsidR="000036CD" w:rsidRPr="002A134C">
        <w:fldChar w:fldCharType="begin"/>
      </w:r>
      <w:r w:rsidR="000036CD" w:rsidRPr="002A134C">
        <w:instrText xml:space="preserve"> REF _Ref468888519 \h </w:instrText>
      </w:r>
      <w:r w:rsidR="002A134C">
        <w:instrText xml:space="preserve"> \* MERGEFORMAT </w:instrText>
      </w:r>
      <w:r w:rsidR="000036CD" w:rsidRPr="002A134C">
        <w:fldChar w:fldCharType="separate"/>
      </w:r>
      <w:r w:rsidR="00631613" w:rsidRPr="00631613">
        <w:t xml:space="preserve">Table </w:t>
      </w:r>
      <w:r w:rsidR="00631613" w:rsidRPr="00631613">
        <w:rPr>
          <w:noProof/>
        </w:rPr>
        <w:t>8</w:t>
      </w:r>
      <w:r w:rsidR="000036CD" w:rsidRPr="002A134C">
        <w:fldChar w:fldCharType="end"/>
      </w:r>
      <w:r w:rsidR="000036CD">
        <w:t xml:space="preserve"> below. </w:t>
      </w:r>
    </w:p>
    <w:p w14:paraId="61563439" w14:textId="7625F12F" w:rsidR="000036CD" w:rsidRPr="00226E4C" w:rsidRDefault="000036CD" w:rsidP="000036CD">
      <w:pPr>
        <w:pStyle w:val="Caption"/>
        <w:rPr>
          <w:rFonts w:ascii="Times New Roman" w:eastAsia="Times New Roman" w:hAnsi="Times New Roman" w:cs="Times New Roman"/>
          <w:sz w:val="20"/>
          <w:szCs w:val="20"/>
          <w:lang w:eastAsia="en-US"/>
        </w:rPr>
      </w:pPr>
      <w:bookmarkStart w:id="42" w:name="_Ref468888519"/>
      <w:r w:rsidRPr="00226E4C">
        <w:rPr>
          <w:sz w:val="20"/>
          <w:szCs w:val="20"/>
        </w:rPr>
        <w:t xml:space="preserve">Table </w:t>
      </w:r>
      <w:r w:rsidRPr="00226E4C">
        <w:rPr>
          <w:sz w:val="20"/>
          <w:szCs w:val="20"/>
        </w:rPr>
        <w:fldChar w:fldCharType="begin"/>
      </w:r>
      <w:r w:rsidRPr="00226E4C">
        <w:rPr>
          <w:sz w:val="20"/>
          <w:szCs w:val="20"/>
        </w:rPr>
        <w:instrText xml:space="preserve"> SEQ Table \* ARABIC </w:instrText>
      </w:r>
      <w:r w:rsidRPr="00226E4C">
        <w:rPr>
          <w:sz w:val="20"/>
          <w:szCs w:val="20"/>
        </w:rPr>
        <w:fldChar w:fldCharType="separate"/>
      </w:r>
      <w:r w:rsidR="00AD4785">
        <w:rPr>
          <w:noProof/>
          <w:sz w:val="20"/>
          <w:szCs w:val="20"/>
        </w:rPr>
        <w:t>8</w:t>
      </w:r>
      <w:r w:rsidRPr="00226E4C">
        <w:rPr>
          <w:sz w:val="20"/>
          <w:szCs w:val="20"/>
        </w:rPr>
        <w:fldChar w:fldCharType="end"/>
      </w:r>
      <w:bookmarkEnd w:id="42"/>
      <w:r w:rsidRPr="00226E4C">
        <w:rPr>
          <w:sz w:val="20"/>
          <w:szCs w:val="20"/>
        </w:rPr>
        <w:t>: Cambridge MVAC and ACS Summary Comparison (Quarter 2, 2010)</w:t>
      </w:r>
    </w:p>
    <w:tbl>
      <w:tblPr>
        <w:tblStyle w:val="AlternatingRows3"/>
        <w:tblW w:w="0" w:type="auto"/>
        <w:tblLook w:val="04A0" w:firstRow="1" w:lastRow="0" w:firstColumn="1" w:lastColumn="0" w:noHBand="0" w:noVBand="1"/>
      </w:tblPr>
      <w:tblGrid>
        <w:gridCol w:w="1820"/>
        <w:gridCol w:w="2028"/>
        <w:gridCol w:w="1796"/>
        <w:gridCol w:w="2136"/>
        <w:gridCol w:w="1570"/>
      </w:tblGrid>
      <w:tr w:rsidR="000036CD" w:rsidRPr="005F76C3" w14:paraId="7535F4A3" w14:textId="77777777" w:rsidTr="005F76C3">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214BEE04" w14:textId="77777777" w:rsidR="000036CD" w:rsidRPr="005F76C3" w:rsidRDefault="000036CD" w:rsidP="00852655">
            <w:pPr>
              <w:rPr>
                <w:rFonts w:ascii="Times New Roman" w:hAnsi="Times New Roman" w:cs="Times New Roman"/>
                <w:b w:val="0"/>
                <w:bCs/>
                <w:color w:val="FFFFFF"/>
                <w:sz w:val="20"/>
                <w:szCs w:val="20"/>
              </w:rPr>
            </w:pPr>
            <w:r w:rsidRPr="005F76C3">
              <w:rPr>
                <w:rFonts w:ascii="Times New Roman" w:hAnsi="Times New Roman" w:cs="Times New Roman"/>
                <w:bCs/>
                <w:color w:val="FFFFFF"/>
                <w:sz w:val="20"/>
                <w:szCs w:val="20"/>
              </w:rPr>
              <w:t>MAVC Total Vehicles</w:t>
            </w:r>
          </w:p>
        </w:tc>
        <w:tc>
          <w:tcPr>
            <w:tcW w:w="0" w:type="auto"/>
            <w:noWrap/>
            <w:hideMark/>
          </w:tcPr>
          <w:p w14:paraId="78F6CACB" w14:textId="77777777" w:rsidR="000036CD" w:rsidRPr="005F76C3" w:rsidRDefault="000036CD" w:rsidP="00852655">
            <w:pPr>
              <w:rPr>
                <w:rFonts w:ascii="Times New Roman" w:hAnsi="Times New Roman" w:cs="Times New Roman"/>
                <w:b w:val="0"/>
                <w:bCs/>
                <w:color w:val="FFFFFF"/>
                <w:sz w:val="20"/>
                <w:szCs w:val="20"/>
              </w:rPr>
            </w:pPr>
            <w:r w:rsidRPr="005F76C3">
              <w:rPr>
                <w:rFonts w:ascii="Times New Roman" w:hAnsi="Times New Roman" w:cs="Times New Roman"/>
                <w:bCs/>
                <w:color w:val="FFFFFF"/>
                <w:sz w:val="20"/>
                <w:szCs w:val="20"/>
              </w:rPr>
              <w:t>ACS Vehicle Availability</w:t>
            </w:r>
          </w:p>
        </w:tc>
        <w:tc>
          <w:tcPr>
            <w:tcW w:w="0" w:type="auto"/>
            <w:noWrap/>
            <w:hideMark/>
          </w:tcPr>
          <w:p w14:paraId="2ECEC88E" w14:textId="77777777" w:rsidR="000036CD" w:rsidRPr="005F76C3" w:rsidRDefault="000036CD" w:rsidP="00852655">
            <w:pPr>
              <w:rPr>
                <w:rFonts w:ascii="Times New Roman" w:hAnsi="Times New Roman" w:cs="Times New Roman"/>
                <w:b w:val="0"/>
                <w:bCs/>
                <w:color w:val="FFFFFF"/>
                <w:sz w:val="20"/>
                <w:szCs w:val="20"/>
              </w:rPr>
            </w:pPr>
            <w:r w:rsidRPr="005F76C3">
              <w:rPr>
                <w:rFonts w:ascii="Times New Roman" w:hAnsi="Times New Roman" w:cs="Times New Roman"/>
                <w:bCs/>
                <w:color w:val="FFFFFF"/>
                <w:sz w:val="20"/>
                <w:szCs w:val="20"/>
              </w:rPr>
              <w:t>ACS Margin of Error</w:t>
            </w:r>
          </w:p>
        </w:tc>
        <w:tc>
          <w:tcPr>
            <w:tcW w:w="0" w:type="auto"/>
            <w:noWrap/>
            <w:hideMark/>
          </w:tcPr>
          <w:p w14:paraId="4DF0BE56" w14:textId="77777777" w:rsidR="000036CD" w:rsidRPr="005F76C3" w:rsidRDefault="000036CD" w:rsidP="00852655">
            <w:pPr>
              <w:rPr>
                <w:rFonts w:ascii="Times New Roman" w:hAnsi="Times New Roman" w:cs="Times New Roman"/>
                <w:b w:val="0"/>
                <w:bCs/>
                <w:color w:val="FFFFFF"/>
                <w:sz w:val="20"/>
                <w:szCs w:val="20"/>
              </w:rPr>
            </w:pPr>
            <w:r w:rsidRPr="005F76C3">
              <w:rPr>
                <w:rFonts w:ascii="Times New Roman" w:hAnsi="Times New Roman" w:cs="Times New Roman"/>
                <w:bCs/>
                <w:color w:val="FFFFFF"/>
                <w:sz w:val="20"/>
                <w:szCs w:val="20"/>
              </w:rPr>
              <w:t>Difference (ACS - MAVC)</w:t>
            </w:r>
          </w:p>
        </w:tc>
        <w:tc>
          <w:tcPr>
            <w:tcW w:w="0" w:type="auto"/>
            <w:noWrap/>
            <w:hideMark/>
          </w:tcPr>
          <w:p w14:paraId="27C2BF69" w14:textId="77777777" w:rsidR="000036CD" w:rsidRPr="005F76C3" w:rsidRDefault="000036CD" w:rsidP="00852655">
            <w:pPr>
              <w:rPr>
                <w:rFonts w:ascii="Times New Roman" w:hAnsi="Times New Roman" w:cs="Times New Roman"/>
                <w:b w:val="0"/>
                <w:bCs/>
                <w:color w:val="FFFFFF"/>
                <w:sz w:val="20"/>
                <w:szCs w:val="20"/>
              </w:rPr>
            </w:pPr>
            <w:r w:rsidRPr="005F76C3">
              <w:rPr>
                <w:rFonts w:ascii="Times New Roman" w:hAnsi="Times New Roman" w:cs="Times New Roman"/>
                <w:bCs/>
                <w:color w:val="FFFFFF"/>
                <w:sz w:val="20"/>
                <w:szCs w:val="20"/>
              </w:rPr>
              <w:t>Percent Difference</w:t>
            </w:r>
          </w:p>
        </w:tc>
      </w:tr>
      <w:tr w:rsidR="000036CD" w:rsidRPr="005F76C3" w14:paraId="409D8FE6" w14:textId="77777777" w:rsidTr="005F76C3">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31F6F4B9" w14:textId="77777777" w:rsidR="000036CD" w:rsidRPr="005F76C3" w:rsidRDefault="000036CD" w:rsidP="005F76C3">
            <w:pPr>
              <w:jc w:val="center"/>
              <w:rPr>
                <w:rFonts w:ascii="Times New Roman" w:hAnsi="Times New Roman" w:cs="Times New Roman"/>
                <w:color w:val="000000"/>
                <w:sz w:val="20"/>
                <w:szCs w:val="20"/>
              </w:rPr>
            </w:pPr>
            <w:r w:rsidRPr="005F76C3">
              <w:rPr>
                <w:rFonts w:ascii="Times New Roman" w:hAnsi="Times New Roman" w:cs="Times New Roman"/>
                <w:color w:val="000000"/>
                <w:sz w:val="20"/>
                <w:szCs w:val="20"/>
              </w:rPr>
              <w:t>41,641</w:t>
            </w:r>
          </w:p>
        </w:tc>
        <w:tc>
          <w:tcPr>
            <w:tcW w:w="0" w:type="auto"/>
            <w:noWrap/>
            <w:hideMark/>
          </w:tcPr>
          <w:p w14:paraId="6A171913" w14:textId="77777777" w:rsidR="000036CD" w:rsidRPr="005F76C3" w:rsidRDefault="000036CD" w:rsidP="005F76C3">
            <w:pPr>
              <w:jc w:val="center"/>
              <w:rPr>
                <w:rFonts w:ascii="Times New Roman" w:hAnsi="Times New Roman" w:cs="Times New Roman"/>
                <w:color w:val="000000"/>
                <w:sz w:val="20"/>
                <w:szCs w:val="20"/>
              </w:rPr>
            </w:pPr>
            <w:r w:rsidRPr="005F76C3">
              <w:rPr>
                <w:rFonts w:ascii="Times New Roman" w:hAnsi="Times New Roman" w:cs="Times New Roman"/>
                <w:color w:val="000000"/>
                <w:sz w:val="20"/>
                <w:szCs w:val="20"/>
              </w:rPr>
              <w:t>41,448</w:t>
            </w:r>
          </w:p>
        </w:tc>
        <w:tc>
          <w:tcPr>
            <w:tcW w:w="0" w:type="auto"/>
            <w:noWrap/>
            <w:hideMark/>
          </w:tcPr>
          <w:p w14:paraId="1329CCC4" w14:textId="77777777" w:rsidR="000036CD" w:rsidRPr="005F76C3" w:rsidRDefault="000036CD" w:rsidP="005F76C3">
            <w:pPr>
              <w:jc w:val="center"/>
              <w:rPr>
                <w:rFonts w:ascii="Times New Roman" w:hAnsi="Times New Roman" w:cs="Times New Roman"/>
                <w:color w:val="000000"/>
                <w:sz w:val="20"/>
                <w:szCs w:val="20"/>
              </w:rPr>
            </w:pPr>
            <w:r w:rsidRPr="005F76C3">
              <w:rPr>
                <w:rFonts w:ascii="Times New Roman" w:hAnsi="Times New Roman" w:cs="Times New Roman"/>
                <w:color w:val="000000"/>
                <w:sz w:val="20"/>
                <w:szCs w:val="20"/>
              </w:rPr>
              <w:t>1,081</w:t>
            </w:r>
          </w:p>
        </w:tc>
        <w:tc>
          <w:tcPr>
            <w:tcW w:w="0" w:type="auto"/>
            <w:noWrap/>
            <w:hideMark/>
          </w:tcPr>
          <w:p w14:paraId="45A12D08" w14:textId="77777777" w:rsidR="000036CD" w:rsidRPr="005F76C3" w:rsidRDefault="000036CD" w:rsidP="005F76C3">
            <w:pPr>
              <w:jc w:val="center"/>
              <w:rPr>
                <w:rFonts w:ascii="Times New Roman" w:hAnsi="Times New Roman" w:cs="Times New Roman"/>
                <w:color w:val="000000"/>
                <w:sz w:val="20"/>
                <w:szCs w:val="20"/>
              </w:rPr>
            </w:pPr>
            <w:r w:rsidRPr="005F76C3">
              <w:rPr>
                <w:rFonts w:ascii="Times New Roman" w:hAnsi="Times New Roman" w:cs="Times New Roman"/>
                <w:color w:val="000000"/>
                <w:sz w:val="20"/>
                <w:szCs w:val="20"/>
              </w:rPr>
              <w:t>-193</w:t>
            </w:r>
          </w:p>
        </w:tc>
        <w:tc>
          <w:tcPr>
            <w:tcW w:w="0" w:type="auto"/>
            <w:noWrap/>
            <w:hideMark/>
          </w:tcPr>
          <w:p w14:paraId="53495DBA" w14:textId="77777777" w:rsidR="000036CD" w:rsidRPr="005F76C3" w:rsidRDefault="000036CD" w:rsidP="005F76C3">
            <w:pPr>
              <w:jc w:val="center"/>
              <w:rPr>
                <w:rFonts w:ascii="Times New Roman" w:hAnsi="Times New Roman" w:cs="Times New Roman"/>
                <w:color w:val="000000"/>
                <w:sz w:val="20"/>
                <w:szCs w:val="20"/>
              </w:rPr>
            </w:pPr>
            <w:r w:rsidRPr="005F76C3">
              <w:rPr>
                <w:rFonts w:ascii="Times New Roman" w:hAnsi="Times New Roman" w:cs="Times New Roman"/>
                <w:color w:val="000000"/>
                <w:sz w:val="20"/>
                <w:szCs w:val="20"/>
              </w:rPr>
              <w:t>-0.46%</w:t>
            </w:r>
          </w:p>
        </w:tc>
      </w:tr>
    </w:tbl>
    <w:p w14:paraId="2FB1E28C" w14:textId="78D6BBFC" w:rsidR="005D1313" w:rsidRPr="005D1313" w:rsidRDefault="005D1313" w:rsidP="00392285">
      <w:pPr>
        <w:pStyle w:val="ParaText"/>
      </w:pPr>
    </w:p>
    <w:p w14:paraId="69339281" w14:textId="73C2E960" w:rsidR="000036CD" w:rsidRDefault="000036CD" w:rsidP="000036CD">
      <w:pPr>
        <w:pStyle w:val="ParaText"/>
      </w:pPr>
      <w:r w:rsidRPr="000036CD">
        <w:t xml:space="preserve">MAPC also examined differences at the census tract level. Seventy-two percent of census tracts (23 of 32 census tracts) had similar estimates for both the ACS and MAVC total vehicle estimates. Of the nine census tracts that had different estimates, the ACS estimate was greater than the total vehicle MAVC estimate in six census tracts and less than the total vehicle MAVC estimate in three census </w:t>
      </w:r>
      <w:r>
        <w:t xml:space="preserve">tracts. See </w:t>
      </w:r>
      <w:r>
        <w:fldChar w:fldCharType="begin"/>
      </w:r>
      <w:r>
        <w:instrText xml:space="preserve"> REF _Ref468888687 \h </w:instrText>
      </w:r>
      <w:r>
        <w:fldChar w:fldCharType="separate"/>
      </w:r>
      <w:r w:rsidR="00631613" w:rsidRPr="00226E4C">
        <w:rPr>
          <w:sz w:val="20"/>
          <w:szCs w:val="20"/>
        </w:rPr>
        <w:t xml:space="preserve">Figure </w:t>
      </w:r>
      <w:r w:rsidR="00631613">
        <w:rPr>
          <w:noProof/>
          <w:sz w:val="20"/>
          <w:szCs w:val="20"/>
        </w:rPr>
        <w:t>1</w:t>
      </w:r>
      <w:r>
        <w:fldChar w:fldCharType="end"/>
      </w:r>
      <w:r>
        <w:t xml:space="preserve"> below. </w:t>
      </w:r>
    </w:p>
    <w:p w14:paraId="2391D129" w14:textId="7FD25398" w:rsidR="000036CD" w:rsidRPr="00226E4C" w:rsidRDefault="000036CD" w:rsidP="000036CD">
      <w:pPr>
        <w:pStyle w:val="Caption"/>
        <w:rPr>
          <w:sz w:val="20"/>
          <w:szCs w:val="20"/>
        </w:rPr>
      </w:pPr>
      <w:bookmarkStart w:id="43" w:name="_Ref468888687"/>
      <w:r w:rsidRPr="00226E4C">
        <w:rPr>
          <w:sz w:val="20"/>
          <w:szCs w:val="20"/>
        </w:rPr>
        <w:lastRenderedPageBreak/>
        <w:t xml:space="preserve">Figure </w:t>
      </w:r>
      <w:r w:rsidRPr="00226E4C">
        <w:rPr>
          <w:sz w:val="20"/>
          <w:szCs w:val="20"/>
        </w:rPr>
        <w:fldChar w:fldCharType="begin"/>
      </w:r>
      <w:r w:rsidRPr="00226E4C">
        <w:rPr>
          <w:sz w:val="20"/>
          <w:szCs w:val="20"/>
        </w:rPr>
        <w:instrText xml:space="preserve"> SEQ Figure \* ARABIC </w:instrText>
      </w:r>
      <w:r w:rsidRPr="00226E4C">
        <w:rPr>
          <w:sz w:val="20"/>
          <w:szCs w:val="20"/>
        </w:rPr>
        <w:fldChar w:fldCharType="separate"/>
      </w:r>
      <w:r w:rsidR="00631613">
        <w:rPr>
          <w:noProof/>
          <w:sz w:val="20"/>
          <w:szCs w:val="20"/>
        </w:rPr>
        <w:t>1</w:t>
      </w:r>
      <w:r w:rsidRPr="00226E4C">
        <w:rPr>
          <w:sz w:val="20"/>
          <w:szCs w:val="20"/>
        </w:rPr>
        <w:fldChar w:fldCharType="end"/>
      </w:r>
      <w:bookmarkEnd w:id="43"/>
      <w:r w:rsidRPr="00226E4C">
        <w:rPr>
          <w:sz w:val="20"/>
          <w:szCs w:val="20"/>
        </w:rPr>
        <w:t xml:space="preserve">: MVAC Total Vehicle and ACS Vehicle Availability Comparison by Census Tract </w:t>
      </w:r>
    </w:p>
    <w:p w14:paraId="2C22BC03" w14:textId="5FF3D4B0" w:rsidR="000036CD" w:rsidRDefault="000036CD" w:rsidP="005F76C3">
      <w:pPr>
        <w:pStyle w:val="Caption"/>
        <w:jc w:val="center"/>
      </w:pPr>
      <w:r w:rsidRPr="008E6E69">
        <w:rPr>
          <w:rFonts w:ascii="Tw Cen MT" w:hAnsi="Tw Cen MT"/>
          <w:noProof/>
          <w:lang w:eastAsia="en-US"/>
        </w:rPr>
        <w:drawing>
          <wp:inline distT="0" distB="0" distL="0" distR="0" wp14:anchorId="42E3D72A" wp14:editId="47D4EE94">
            <wp:extent cx="4601688" cy="3552825"/>
            <wp:effectExtent l="0" t="0" r="8890" b="0"/>
            <wp:docPr id="10" name="Picture 1" descr="K:\DataServices\Projects\Current_Projects\Cambridge_GHG_Inventory\Project_Files\acs_compariso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taServices\Projects\Current_Projects\Cambridge_GHG_Inventory\Project_Files\acs_comparison_v1.jpg"/>
                    <pic:cNvPicPr>
                      <a:picLocks noChangeAspect="1" noChangeArrowheads="1"/>
                    </pic:cNvPicPr>
                  </pic:nvPicPr>
                  <pic:blipFill>
                    <a:blip r:embed="rId13" cstate="print"/>
                    <a:srcRect/>
                    <a:stretch>
                      <a:fillRect/>
                    </a:stretch>
                  </pic:blipFill>
                  <pic:spPr bwMode="auto">
                    <a:xfrm>
                      <a:off x="0" y="0"/>
                      <a:ext cx="4628672" cy="3573658"/>
                    </a:xfrm>
                    <a:prstGeom prst="rect">
                      <a:avLst/>
                    </a:prstGeom>
                    <a:noFill/>
                    <a:ln w="9525">
                      <a:noFill/>
                      <a:miter lim="800000"/>
                      <a:headEnd/>
                      <a:tailEnd/>
                    </a:ln>
                  </pic:spPr>
                </pic:pic>
              </a:graphicData>
            </a:graphic>
          </wp:inline>
        </w:drawing>
      </w:r>
    </w:p>
    <w:p w14:paraId="786FF35B" w14:textId="77777777" w:rsidR="000036CD" w:rsidRDefault="000036CD" w:rsidP="000036CD">
      <w:pPr>
        <w:pStyle w:val="ParaText"/>
      </w:pPr>
    </w:p>
    <w:p w14:paraId="58914BFD" w14:textId="24A625BE" w:rsidR="000036CD" w:rsidRDefault="000036CD" w:rsidP="000036CD">
      <w:pPr>
        <w:pStyle w:val="ParaText"/>
      </w:pPr>
      <w:r w:rsidRPr="002A134C">
        <w:rPr>
          <w:sz w:val="24"/>
        </w:rPr>
        <w:fldChar w:fldCharType="begin"/>
      </w:r>
      <w:r w:rsidRPr="002A134C">
        <w:rPr>
          <w:sz w:val="24"/>
        </w:rPr>
        <w:instrText xml:space="preserve"> REF _Ref468888889 \h </w:instrText>
      </w:r>
      <w:r w:rsidR="002A134C">
        <w:rPr>
          <w:sz w:val="24"/>
        </w:rPr>
        <w:instrText xml:space="preserve"> \* MERGEFORMAT </w:instrText>
      </w:r>
      <w:r w:rsidRPr="002A134C">
        <w:rPr>
          <w:sz w:val="24"/>
        </w:rPr>
      </w:r>
      <w:r w:rsidRPr="002A134C">
        <w:rPr>
          <w:sz w:val="24"/>
        </w:rPr>
        <w:fldChar w:fldCharType="separate"/>
      </w:r>
      <w:r w:rsidR="00631613" w:rsidRPr="00631613">
        <w:rPr>
          <w:szCs w:val="20"/>
        </w:rPr>
        <w:t xml:space="preserve">Table </w:t>
      </w:r>
      <w:r w:rsidR="00631613" w:rsidRPr="00631613">
        <w:rPr>
          <w:noProof/>
          <w:szCs w:val="20"/>
        </w:rPr>
        <w:t>9</w:t>
      </w:r>
      <w:r w:rsidRPr="002A134C">
        <w:rPr>
          <w:sz w:val="24"/>
        </w:rPr>
        <w:fldChar w:fldCharType="end"/>
      </w:r>
      <w:r w:rsidR="004931DA">
        <w:t xml:space="preserve"> </w:t>
      </w:r>
      <w:r w:rsidRPr="000036CD">
        <w:t xml:space="preserve">shows the differences between the MAVC and ACS estimates. The difference between these two estimates for these nine census tracts </w:t>
      </w:r>
      <w:r>
        <w:t xml:space="preserve">is 522 vehicles. </w:t>
      </w:r>
    </w:p>
    <w:p w14:paraId="096F2DFF" w14:textId="6BB16E66" w:rsidR="000036CD" w:rsidRPr="00226E4C" w:rsidRDefault="000036CD" w:rsidP="000036CD">
      <w:pPr>
        <w:pStyle w:val="Caption"/>
        <w:rPr>
          <w:sz w:val="20"/>
          <w:szCs w:val="20"/>
        </w:rPr>
      </w:pPr>
      <w:bookmarkStart w:id="44" w:name="_Ref468888889"/>
      <w:r w:rsidRPr="00226E4C">
        <w:rPr>
          <w:sz w:val="20"/>
          <w:szCs w:val="20"/>
        </w:rPr>
        <w:t xml:space="preserve">Table </w:t>
      </w:r>
      <w:r w:rsidRPr="00226E4C">
        <w:rPr>
          <w:sz w:val="20"/>
          <w:szCs w:val="20"/>
        </w:rPr>
        <w:fldChar w:fldCharType="begin"/>
      </w:r>
      <w:r w:rsidRPr="00226E4C">
        <w:rPr>
          <w:sz w:val="20"/>
          <w:szCs w:val="20"/>
        </w:rPr>
        <w:instrText xml:space="preserve"> SEQ Table \* ARABIC </w:instrText>
      </w:r>
      <w:r w:rsidRPr="00226E4C">
        <w:rPr>
          <w:sz w:val="20"/>
          <w:szCs w:val="20"/>
        </w:rPr>
        <w:fldChar w:fldCharType="separate"/>
      </w:r>
      <w:r w:rsidR="00AD4785">
        <w:rPr>
          <w:noProof/>
          <w:sz w:val="20"/>
          <w:szCs w:val="20"/>
        </w:rPr>
        <w:t>9</w:t>
      </w:r>
      <w:r w:rsidRPr="00226E4C">
        <w:rPr>
          <w:sz w:val="20"/>
          <w:szCs w:val="20"/>
        </w:rPr>
        <w:fldChar w:fldCharType="end"/>
      </w:r>
      <w:bookmarkEnd w:id="44"/>
      <w:r w:rsidRPr="00226E4C">
        <w:rPr>
          <w:sz w:val="20"/>
          <w:szCs w:val="20"/>
        </w:rPr>
        <w:t>: Cambridge MVAC Total Vehicle and ACS Vehicle Availability Comparison by Census Tract (Quarter 2, 2010)</w:t>
      </w:r>
    </w:p>
    <w:tbl>
      <w:tblPr>
        <w:tblStyle w:val="AlternatingRows3"/>
        <w:tblW w:w="5000" w:type="pct"/>
        <w:tblLayout w:type="fixed"/>
        <w:tblLook w:val="04A0" w:firstRow="1" w:lastRow="0" w:firstColumn="1" w:lastColumn="0" w:noHBand="0" w:noVBand="1"/>
      </w:tblPr>
      <w:tblGrid>
        <w:gridCol w:w="1599"/>
        <w:gridCol w:w="1670"/>
        <w:gridCol w:w="1670"/>
        <w:gridCol w:w="1453"/>
        <w:gridCol w:w="1535"/>
        <w:gridCol w:w="1423"/>
      </w:tblGrid>
      <w:tr w:rsidR="000036CD" w:rsidRPr="00241AAC" w14:paraId="47BE8A0A" w14:textId="77777777" w:rsidTr="00241AAC">
        <w:trPr>
          <w:cnfStyle w:val="100000000000" w:firstRow="1" w:lastRow="0" w:firstColumn="0" w:lastColumn="0" w:oddVBand="0" w:evenVBand="0" w:oddHBand="0" w:evenHBand="0" w:firstRowFirstColumn="0" w:firstRowLastColumn="0" w:lastRowFirstColumn="0" w:lastRowLastColumn="0"/>
          <w:trHeight w:val="315"/>
        </w:trPr>
        <w:tc>
          <w:tcPr>
            <w:tcW w:w="855" w:type="pct"/>
            <w:noWrap/>
            <w:hideMark/>
          </w:tcPr>
          <w:p w14:paraId="1BE51D87" w14:textId="77777777" w:rsidR="000036CD" w:rsidRPr="00241AAC" w:rsidRDefault="000036CD"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Census Tract</w:t>
            </w:r>
          </w:p>
        </w:tc>
        <w:tc>
          <w:tcPr>
            <w:tcW w:w="893" w:type="pct"/>
            <w:noWrap/>
            <w:hideMark/>
          </w:tcPr>
          <w:p w14:paraId="3FAA7798" w14:textId="77777777" w:rsidR="000036CD" w:rsidRPr="00241AAC" w:rsidRDefault="000036CD"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 xml:space="preserve">MAVC Total Vehicles </w:t>
            </w:r>
          </w:p>
        </w:tc>
        <w:tc>
          <w:tcPr>
            <w:tcW w:w="893" w:type="pct"/>
            <w:noWrap/>
            <w:hideMark/>
          </w:tcPr>
          <w:p w14:paraId="09BADADD" w14:textId="77777777" w:rsidR="000036CD" w:rsidRPr="00241AAC" w:rsidRDefault="000036CD"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 xml:space="preserve">ACS Vehicle Availability </w:t>
            </w:r>
          </w:p>
        </w:tc>
        <w:tc>
          <w:tcPr>
            <w:tcW w:w="777" w:type="pct"/>
            <w:noWrap/>
            <w:hideMark/>
          </w:tcPr>
          <w:p w14:paraId="606AFF30" w14:textId="77777777" w:rsidR="000036CD" w:rsidRPr="00241AAC" w:rsidRDefault="000036CD"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ACS Margin of Error</w:t>
            </w:r>
          </w:p>
        </w:tc>
        <w:tc>
          <w:tcPr>
            <w:tcW w:w="821" w:type="pct"/>
            <w:noWrap/>
            <w:hideMark/>
          </w:tcPr>
          <w:p w14:paraId="03CCC968" w14:textId="77777777" w:rsidR="000036CD" w:rsidRPr="00241AAC" w:rsidRDefault="000036CD"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Difference (ACS-MAVC)</w:t>
            </w:r>
          </w:p>
        </w:tc>
        <w:tc>
          <w:tcPr>
            <w:tcW w:w="761" w:type="pct"/>
            <w:noWrap/>
            <w:hideMark/>
          </w:tcPr>
          <w:p w14:paraId="62573CA6" w14:textId="77777777" w:rsidR="000036CD" w:rsidRPr="00241AAC" w:rsidRDefault="000036CD"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Percent Difference</w:t>
            </w:r>
          </w:p>
        </w:tc>
      </w:tr>
      <w:tr w:rsidR="000036CD" w:rsidRPr="00241AAC" w14:paraId="4D46A7D0" w14:textId="77777777" w:rsidTr="00241AAC">
        <w:trPr>
          <w:cnfStyle w:val="000000100000" w:firstRow="0" w:lastRow="0" w:firstColumn="0" w:lastColumn="0" w:oddVBand="0" w:evenVBand="0" w:oddHBand="1" w:evenHBand="0" w:firstRowFirstColumn="0" w:firstRowLastColumn="0" w:lastRowFirstColumn="0" w:lastRowLastColumn="0"/>
          <w:trHeight w:val="315"/>
        </w:trPr>
        <w:tc>
          <w:tcPr>
            <w:tcW w:w="855" w:type="pct"/>
            <w:noWrap/>
            <w:hideMark/>
          </w:tcPr>
          <w:p w14:paraId="73C28463"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25017352101</w:t>
            </w:r>
          </w:p>
        </w:tc>
        <w:tc>
          <w:tcPr>
            <w:tcW w:w="893" w:type="pct"/>
            <w:noWrap/>
            <w:hideMark/>
          </w:tcPr>
          <w:p w14:paraId="085DB33E"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353</w:t>
            </w:r>
          </w:p>
        </w:tc>
        <w:tc>
          <w:tcPr>
            <w:tcW w:w="893" w:type="pct"/>
            <w:noWrap/>
            <w:hideMark/>
          </w:tcPr>
          <w:p w14:paraId="0DB20CF2"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815</w:t>
            </w:r>
          </w:p>
        </w:tc>
        <w:tc>
          <w:tcPr>
            <w:tcW w:w="777" w:type="pct"/>
            <w:noWrap/>
            <w:hideMark/>
          </w:tcPr>
          <w:p w14:paraId="02A754F8"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137</w:t>
            </w:r>
          </w:p>
        </w:tc>
        <w:tc>
          <w:tcPr>
            <w:tcW w:w="821" w:type="pct"/>
            <w:noWrap/>
            <w:hideMark/>
          </w:tcPr>
          <w:p w14:paraId="68735248"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462</w:t>
            </w:r>
          </w:p>
        </w:tc>
        <w:tc>
          <w:tcPr>
            <w:tcW w:w="761" w:type="pct"/>
            <w:noWrap/>
            <w:hideMark/>
          </w:tcPr>
          <w:p w14:paraId="2B288A19"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130.9%</w:t>
            </w:r>
          </w:p>
        </w:tc>
      </w:tr>
      <w:tr w:rsidR="000036CD" w:rsidRPr="00241AAC" w14:paraId="7361D177" w14:textId="77777777" w:rsidTr="00241AAC">
        <w:trPr>
          <w:cnfStyle w:val="000000010000" w:firstRow="0" w:lastRow="0" w:firstColumn="0" w:lastColumn="0" w:oddVBand="0" w:evenVBand="0" w:oddHBand="0" w:evenHBand="1" w:firstRowFirstColumn="0" w:firstRowLastColumn="0" w:lastRowFirstColumn="0" w:lastRowLastColumn="0"/>
          <w:trHeight w:val="300"/>
        </w:trPr>
        <w:tc>
          <w:tcPr>
            <w:tcW w:w="855" w:type="pct"/>
            <w:noWrap/>
            <w:hideMark/>
          </w:tcPr>
          <w:p w14:paraId="2AA0C263"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25017353500</w:t>
            </w:r>
          </w:p>
        </w:tc>
        <w:tc>
          <w:tcPr>
            <w:tcW w:w="893" w:type="pct"/>
            <w:noWrap/>
            <w:hideMark/>
          </w:tcPr>
          <w:p w14:paraId="744E120C"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1,025</w:t>
            </w:r>
          </w:p>
        </w:tc>
        <w:tc>
          <w:tcPr>
            <w:tcW w:w="893" w:type="pct"/>
            <w:noWrap/>
            <w:hideMark/>
          </w:tcPr>
          <w:p w14:paraId="72175E80"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1,326</w:t>
            </w:r>
          </w:p>
        </w:tc>
        <w:tc>
          <w:tcPr>
            <w:tcW w:w="777" w:type="pct"/>
            <w:noWrap/>
            <w:hideMark/>
          </w:tcPr>
          <w:p w14:paraId="0591565B"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173</w:t>
            </w:r>
          </w:p>
        </w:tc>
        <w:tc>
          <w:tcPr>
            <w:tcW w:w="821" w:type="pct"/>
            <w:noWrap/>
            <w:hideMark/>
          </w:tcPr>
          <w:p w14:paraId="33AA8C4B"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301</w:t>
            </w:r>
          </w:p>
        </w:tc>
        <w:tc>
          <w:tcPr>
            <w:tcW w:w="761" w:type="pct"/>
            <w:noWrap/>
            <w:hideMark/>
          </w:tcPr>
          <w:p w14:paraId="30D4EBAB"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29.4%</w:t>
            </w:r>
          </w:p>
        </w:tc>
      </w:tr>
      <w:tr w:rsidR="000036CD" w:rsidRPr="00241AAC" w14:paraId="11CB5747" w14:textId="77777777" w:rsidTr="00241AAC">
        <w:trPr>
          <w:cnfStyle w:val="000000100000" w:firstRow="0" w:lastRow="0" w:firstColumn="0" w:lastColumn="0" w:oddVBand="0" w:evenVBand="0" w:oddHBand="1" w:evenHBand="0" w:firstRowFirstColumn="0" w:firstRowLastColumn="0" w:lastRowFirstColumn="0" w:lastRowLastColumn="0"/>
          <w:trHeight w:val="300"/>
        </w:trPr>
        <w:tc>
          <w:tcPr>
            <w:tcW w:w="855" w:type="pct"/>
            <w:noWrap/>
            <w:hideMark/>
          </w:tcPr>
          <w:p w14:paraId="0AADB3FA"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25017354300</w:t>
            </w:r>
          </w:p>
        </w:tc>
        <w:tc>
          <w:tcPr>
            <w:tcW w:w="893" w:type="pct"/>
            <w:noWrap/>
            <w:hideMark/>
          </w:tcPr>
          <w:p w14:paraId="44DE26F5"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1,503</w:t>
            </w:r>
          </w:p>
        </w:tc>
        <w:tc>
          <w:tcPr>
            <w:tcW w:w="893" w:type="pct"/>
            <w:noWrap/>
            <w:hideMark/>
          </w:tcPr>
          <w:p w14:paraId="19895421"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1,844</w:t>
            </w:r>
          </w:p>
        </w:tc>
        <w:tc>
          <w:tcPr>
            <w:tcW w:w="777" w:type="pct"/>
            <w:noWrap/>
            <w:hideMark/>
          </w:tcPr>
          <w:p w14:paraId="446D48A2"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206</w:t>
            </w:r>
          </w:p>
        </w:tc>
        <w:tc>
          <w:tcPr>
            <w:tcW w:w="821" w:type="pct"/>
            <w:noWrap/>
            <w:hideMark/>
          </w:tcPr>
          <w:p w14:paraId="2F88561B"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341</w:t>
            </w:r>
          </w:p>
        </w:tc>
        <w:tc>
          <w:tcPr>
            <w:tcW w:w="761" w:type="pct"/>
            <w:noWrap/>
            <w:hideMark/>
          </w:tcPr>
          <w:p w14:paraId="1C5C08D3"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22.7%</w:t>
            </w:r>
          </w:p>
        </w:tc>
      </w:tr>
      <w:tr w:rsidR="000036CD" w:rsidRPr="00241AAC" w14:paraId="60709E4B" w14:textId="77777777" w:rsidTr="00241AAC">
        <w:trPr>
          <w:cnfStyle w:val="000000010000" w:firstRow="0" w:lastRow="0" w:firstColumn="0" w:lastColumn="0" w:oddVBand="0" w:evenVBand="0" w:oddHBand="0" w:evenHBand="1" w:firstRowFirstColumn="0" w:firstRowLastColumn="0" w:lastRowFirstColumn="0" w:lastRowLastColumn="0"/>
          <w:trHeight w:val="300"/>
        </w:trPr>
        <w:tc>
          <w:tcPr>
            <w:tcW w:w="855" w:type="pct"/>
            <w:noWrap/>
            <w:hideMark/>
          </w:tcPr>
          <w:p w14:paraId="40E0035A"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25017354700</w:t>
            </w:r>
          </w:p>
        </w:tc>
        <w:tc>
          <w:tcPr>
            <w:tcW w:w="893" w:type="pct"/>
            <w:noWrap/>
            <w:hideMark/>
          </w:tcPr>
          <w:p w14:paraId="6CED7540"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1,187</w:t>
            </w:r>
          </w:p>
        </w:tc>
        <w:tc>
          <w:tcPr>
            <w:tcW w:w="893" w:type="pct"/>
            <w:noWrap/>
            <w:hideMark/>
          </w:tcPr>
          <w:p w14:paraId="6CB8051E"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1,414</w:t>
            </w:r>
          </w:p>
        </w:tc>
        <w:tc>
          <w:tcPr>
            <w:tcW w:w="777" w:type="pct"/>
            <w:noWrap/>
            <w:hideMark/>
          </w:tcPr>
          <w:p w14:paraId="6AA94D40"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150</w:t>
            </w:r>
          </w:p>
        </w:tc>
        <w:tc>
          <w:tcPr>
            <w:tcW w:w="821" w:type="pct"/>
            <w:noWrap/>
            <w:hideMark/>
          </w:tcPr>
          <w:p w14:paraId="7C058C1A"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227</w:t>
            </w:r>
          </w:p>
        </w:tc>
        <w:tc>
          <w:tcPr>
            <w:tcW w:w="761" w:type="pct"/>
            <w:noWrap/>
            <w:hideMark/>
          </w:tcPr>
          <w:p w14:paraId="7BDCCB4F"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19.2%</w:t>
            </w:r>
          </w:p>
        </w:tc>
      </w:tr>
      <w:tr w:rsidR="000036CD" w:rsidRPr="00241AAC" w14:paraId="45DF29E6" w14:textId="77777777" w:rsidTr="00241AAC">
        <w:trPr>
          <w:cnfStyle w:val="000000100000" w:firstRow="0" w:lastRow="0" w:firstColumn="0" w:lastColumn="0" w:oddVBand="0" w:evenVBand="0" w:oddHBand="1" w:evenHBand="0" w:firstRowFirstColumn="0" w:firstRowLastColumn="0" w:lastRowFirstColumn="0" w:lastRowLastColumn="0"/>
          <w:trHeight w:val="300"/>
        </w:trPr>
        <w:tc>
          <w:tcPr>
            <w:tcW w:w="855" w:type="pct"/>
            <w:noWrap/>
            <w:hideMark/>
          </w:tcPr>
          <w:p w14:paraId="5B75822E"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25017352102</w:t>
            </w:r>
          </w:p>
        </w:tc>
        <w:tc>
          <w:tcPr>
            <w:tcW w:w="893" w:type="pct"/>
            <w:noWrap/>
            <w:hideMark/>
          </w:tcPr>
          <w:p w14:paraId="460FFDDF"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1,259</w:t>
            </w:r>
          </w:p>
        </w:tc>
        <w:tc>
          <w:tcPr>
            <w:tcW w:w="893" w:type="pct"/>
            <w:noWrap/>
            <w:hideMark/>
          </w:tcPr>
          <w:p w14:paraId="6E8B21B6"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1,488</w:t>
            </w:r>
          </w:p>
        </w:tc>
        <w:tc>
          <w:tcPr>
            <w:tcW w:w="777" w:type="pct"/>
            <w:noWrap/>
            <w:hideMark/>
          </w:tcPr>
          <w:p w14:paraId="6A992AD1"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198</w:t>
            </w:r>
          </w:p>
        </w:tc>
        <w:tc>
          <w:tcPr>
            <w:tcW w:w="821" w:type="pct"/>
            <w:noWrap/>
            <w:hideMark/>
          </w:tcPr>
          <w:p w14:paraId="110C7CC1"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229</w:t>
            </w:r>
          </w:p>
        </w:tc>
        <w:tc>
          <w:tcPr>
            <w:tcW w:w="761" w:type="pct"/>
            <w:noWrap/>
            <w:hideMark/>
          </w:tcPr>
          <w:p w14:paraId="271AB003"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18.1%</w:t>
            </w:r>
          </w:p>
        </w:tc>
      </w:tr>
      <w:tr w:rsidR="000036CD" w:rsidRPr="00241AAC" w14:paraId="14800C77" w14:textId="77777777" w:rsidTr="00241AAC">
        <w:trPr>
          <w:cnfStyle w:val="000000010000" w:firstRow="0" w:lastRow="0" w:firstColumn="0" w:lastColumn="0" w:oddVBand="0" w:evenVBand="0" w:oddHBand="0" w:evenHBand="1" w:firstRowFirstColumn="0" w:firstRowLastColumn="0" w:lastRowFirstColumn="0" w:lastRowLastColumn="0"/>
          <w:trHeight w:val="300"/>
        </w:trPr>
        <w:tc>
          <w:tcPr>
            <w:tcW w:w="855" w:type="pct"/>
            <w:noWrap/>
            <w:hideMark/>
          </w:tcPr>
          <w:p w14:paraId="1D5728FC"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25017354200</w:t>
            </w:r>
          </w:p>
        </w:tc>
        <w:tc>
          <w:tcPr>
            <w:tcW w:w="893" w:type="pct"/>
            <w:noWrap/>
            <w:hideMark/>
          </w:tcPr>
          <w:p w14:paraId="33CC0983"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1,986</w:t>
            </w:r>
          </w:p>
        </w:tc>
        <w:tc>
          <w:tcPr>
            <w:tcW w:w="893" w:type="pct"/>
            <w:noWrap/>
            <w:hideMark/>
          </w:tcPr>
          <w:p w14:paraId="3595C8BF"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2,261</w:t>
            </w:r>
          </w:p>
        </w:tc>
        <w:tc>
          <w:tcPr>
            <w:tcW w:w="777" w:type="pct"/>
            <w:noWrap/>
            <w:hideMark/>
          </w:tcPr>
          <w:p w14:paraId="4E431F47"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205</w:t>
            </w:r>
          </w:p>
        </w:tc>
        <w:tc>
          <w:tcPr>
            <w:tcW w:w="821" w:type="pct"/>
            <w:noWrap/>
            <w:hideMark/>
          </w:tcPr>
          <w:p w14:paraId="0013C31C"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275</w:t>
            </w:r>
          </w:p>
        </w:tc>
        <w:tc>
          <w:tcPr>
            <w:tcW w:w="761" w:type="pct"/>
            <w:noWrap/>
            <w:hideMark/>
          </w:tcPr>
          <w:p w14:paraId="1130B442"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13.9%</w:t>
            </w:r>
          </w:p>
        </w:tc>
      </w:tr>
      <w:tr w:rsidR="000036CD" w:rsidRPr="00241AAC" w14:paraId="67E32124" w14:textId="77777777" w:rsidTr="00241AAC">
        <w:trPr>
          <w:cnfStyle w:val="000000100000" w:firstRow="0" w:lastRow="0" w:firstColumn="0" w:lastColumn="0" w:oddVBand="0" w:evenVBand="0" w:oddHBand="1" w:evenHBand="0" w:firstRowFirstColumn="0" w:firstRowLastColumn="0" w:lastRowFirstColumn="0" w:lastRowLastColumn="0"/>
          <w:trHeight w:val="300"/>
        </w:trPr>
        <w:tc>
          <w:tcPr>
            <w:tcW w:w="855" w:type="pct"/>
            <w:noWrap/>
            <w:hideMark/>
          </w:tcPr>
          <w:p w14:paraId="0F6AF31D"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25017352400</w:t>
            </w:r>
          </w:p>
        </w:tc>
        <w:tc>
          <w:tcPr>
            <w:tcW w:w="893" w:type="pct"/>
            <w:noWrap/>
            <w:hideMark/>
          </w:tcPr>
          <w:p w14:paraId="14FD6491"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696</w:t>
            </w:r>
          </w:p>
        </w:tc>
        <w:tc>
          <w:tcPr>
            <w:tcW w:w="893" w:type="pct"/>
            <w:noWrap/>
            <w:hideMark/>
          </w:tcPr>
          <w:p w14:paraId="5807C577"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543</w:t>
            </w:r>
          </w:p>
        </w:tc>
        <w:tc>
          <w:tcPr>
            <w:tcW w:w="777" w:type="pct"/>
            <w:noWrap/>
            <w:hideMark/>
          </w:tcPr>
          <w:p w14:paraId="3D2F561E"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113</w:t>
            </w:r>
          </w:p>
        </w:tc>
        <w:tc>
          <w:tcPr>
            <w:tcW w:w="821" w:type="pct"/>
            <w:noWrap/>
            <w:hideMark/>
          </w:tcPr>
          <w:p w14:paraId="5C079623"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-153</w:t>
            </w:r>
          </w:p>
        </w:tc>
        <w:tc>
          <w:tcPr>
            <w:tcW w:w="761" w:type="pct"/>
            <w:noWrap/>
            <w:hideMark/>
          </w:tcPr>
          <w:p w14:paraId="2A17A35E"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-22.0%</w:t>
            </w:r>
          </w:p>
        </w:tc>
      </w:tr>
      <w:tr w:rsidR="000036CD" w:rsidRPr="00241AAC" w14:paraId="1D53C329" w14:textId="77777777" w:rsidTr="00241AAC">
        <w:trPr>
          <w:cnfStyle w:val="000000010000" w:firstRow="0" w:lastRow="0" w:firstColumn="0" w:lastColumn="0" w:oddVBand="0" w:evenVBand="0" w:oddHBand="0" w:evenHBand="1" w:firstRowFirstColumn="0" w:firstRowLastColumn="0" w:lastRowFirstColumn="0" w:lastRowLastColumn="0"/>
          <w:trHeight w:val="300"/>
        </w:trPr>
        <w:tc>
          <w:tcPr>
            <w:tcW w:w="855" w:type="pct"/>
            <w:noWrap/>
            <w:hideMark/>
          </w:tcPr>
          <w:p w14:paraId="0F7B53AC"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25017353101</w:t>
            </w:r>
          </w:p>
        </w:tc>
        <w:tc>
          <w:tcPr>
            <w:tcW w:w="893" w:type="pct"/>
            <w:noWrap/>
            <w:hideMark/>
          </w:tcPr>
          <w:p w14:paraId="0945AF0D"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755</w:t>
            </w:r>
          </w:p>
        </w:tc>
        <w:tc>
          <w:tcPr>
            <w:tcW w:w="893" w:type="pct"/>
            <w:noWrap/>
            <w:hideMark/>
          </w:tcPr>
          <w:p w14:paraId="515936BA"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545</w:t>
            </w:r>
          </w:p>
        </w:tc>
        <w:tc>
          <w:tcPr>
            <w:tcW w:w="777" w:type="pct"/>
            <w:noWrap/>
            <w:hideMark/>
          </w:tcPr>
          <w:p w14:paraId="66954F77"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125</w:t>
            </w:r>
          </w:p>
        </w:tc>
        <w:tc>
          <w:tcPr>
            <w:tcW w:w="821" w:type="pct"/>
            <w:noWrap/>
            <w:hideMark/>
          </w:tcPr>
          <w:p w14:paraId="09167687"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-210</w:t>
            </w:r>
          </w:p>
        </w:tc>
        <w:tc>
          <w:tcPr>
            <w:tcW w:w="761" w:type="pct"/>
            <w:noWrap/>
            <w:hideMark/>
          </w:tcPr>
          <w:p w14:paraId="3DCDDAE8"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-27.8%</w:t>
            </w:r>
          </w:p>
        </w:tc>
      </w:tr>
      <w:tr w:rsidR="000036CD" w:rsidRPr="00241AAC" w14:paraId="6BF1F540" w14:textId="77777777" w:rsidTr="00241AAC">
        <w:trPr>
          <w:cnfStyle w:val="000000100000" w:firstRow="0" w:lastRow="0" w:firstColumn="0" w:lastColumn="0" w:oddVBand="0" w:evenVBand="0" w:oddHBand="1" w:evenHBand="0" w:firstRowFirstColumn="0" w:firstRowLastColumn="0" w:lastRowFirstColumn="0" w:lastRowLastColumn="0"/>
          <w:trHeight w:val="300"/>
        </w:trPr>
        <w:tc>
          <w:tcPr>
            <w:tcW w:w="855" w:type="pct"/>
            <w:noWrap/>
            <w:hideMark/>
          </w:tcPr>
          <w:p w14:paraId="3172BD4F"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25017353102</w:t>
            </w:r>
          </w:p>
        </w:tc>
        <w:tc>
          <w:tcPr>
            <w:tcW w:w="893" w:type="pct"/>
            <w:noWrap/>
            <w:hideMark/>
          </w:tcPr>
          <w:p w14:paraId="19D54922"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1,231</w:t>
            </w:r>
          </w:p>
        </w:tc>
        <w:tc>
          <w:tcPr>
            <w:tcW w:w="893" w:type="pct"/>
            <w:noWrap/>
            <w:hideMark/>
          </w:tcPr>
          <w:p w14:paraId="26635121"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280</w:t>
            </w:r>
          </w:p>
        </w:tc>
        <w:tc>
          <w:tcPr>
            <w:tcW w:w="777" w:type="pct"/>
            <w:noWrap/>
            <w:hideMark/>
          </w:tcPr>
          <w:p w14:paraId="4B2C262B"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88</w:t>
            </w:r>
          </w:p>
        </w:tc>
        <w:tc>
          <w:tcPr>
            <w:tcW w:w="821" w:type="pct"/>
            <w:noWrap/>
            <w:hideMark/>
          </w:tcPr>
          <w:p w14:paraId="77C12EE3"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-951</w:t>
            </w:r>
          </w:p>
        </w:tc>
        <w:tc>
          <w:tcPr>
            <w:tcW w:w="761" w:type="pct"/>
            <w:noWrap/>
            <w:hideMark/>
          </w:tcPr>
          <w:p w14:paraId="4930B08D" w14:textId="77777777" w:rsidR="000036CD" w:rsidRPr="00241AAC" w:rsidRDefault="000036CD"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-77.3%</w:t>
            </w:r>
          </w:p>
        </w:tc>
      </w:tr>
      <w:tr w:rsidR="000036CD" w:rsidRPr="00241AAC" w14:paraId="54A64342" w14:textId="77777777" w:rsidTr="00241AAC">
        <w:trPr>
          <w:cnfStyle w:val="000000010000" w:firstRow="0" w:lastRow="0" w:firstColumn="0" w:lastColumn="0" w:oddVBand="0" w:evenVBand="0" w:oddHBand="0" w:evenHBand="1" w:firstRowFirstColumn="0" w:firstRowLastColumn="0" w:lastRowFirstColumn="0" w:lastRowLastColumn="0"/>
          <w:trHeight w:val="300"/>
        </w:trPr>
        <w:tc>
          <w:tcPr>
            <w:tcW w:w="855" w:type="pct"/>
            <w:noWrap/>
            <w:hideMark/>
          </w:tcPr>
          <w:p w14:paraId="3C5A84E6" w14:textId="77777777" w:rsidR="000036CD" w:rsidRPr="00241AAC" w:rsidRDefault="000036CD" w:rsidP="00852655">
            <w:pPr>
              <w:rPr>
                <w:rFonts w:ascii="Times New Roman" w:hAnsi="Times New Roman" w:cs="Times New Roman"/>
                <w:b/>
                <w:bCs/>
                <w:color w:val="000000"/>
                <w:sz w:val="20"/>
                <w:szCs w:val="20"/>
              </w:rPr>
            </w:pPr>
            <w:r w:rsidRPr="00241AAC">
              <w:rPr>
                <w:rFonts w:ascii="Times New Roman" w:hAnsi="Times New Roman" w:cs="Times New Roman"/>
                <w:b/>
                <w:bCs/>
                <w:color w:val="000000"/>
                <w:sz w:val="20"/>
                <w:szCs w:val="20"/>
              </w:rPr>
              <w:t>Total</w:t>
            </w:r>
          </w:p>
        </w:tc>
        <w:tc>
          <w:tcPr>
            <w:tcW w:w="893" w:type="pct"/>
            <w:noWrap/>
            <w:hideMark/>
          </w:tcPr>
          <w:p w14:paraId="77A92D90" w14:textId="77777777" w:rsidR="000036CD" w:rsidRPr="00241AAC" w:rsidRDefault="000036CD" w:rsidP="00852655">
            <w:pPr>
              <w:jc w:val="right"/>
              <w:rPr>
                <w:rFonts w:ascii="Times New Roman" w:hAnsi="Times New Roman" w:cs="Times New Roman"/>
                <w:b/>
                <w:bCs/>
                <w:color w:val="000000"/>
                <w:sz w:val="20"/>
                <w:szCs w:val="20"/>
              </w:rPr>
            </w:pPr>
            <w:r w:rsidRPr="00241AAC">
              <w:rPr>
                <w:rFonts w:ascii="Times New Roman" w:hAnsi="Times New Roman" w:cs="Times New Roman"/>
                <w:b/>
                <w:bCs/>
                <w:color w:val="000000"/>
                <w:sz w:val="20"/>
                <w:szCs w:val="20"/>
              </w:rPr>
              <w:t>9,994</w:t>
            </w:r>
          </w:p>
        </w:tc>
        <w:tc>
          <w:tcPr>
            <w:tcW w:w="893" w:type="pct"/>
            <w:noWrap/>
            <w:hideMark/>
          </w:tcPr>
          <w:p w14:paraId="3045EE7D" w14:textId="77777777" w:rsidR="000036CD" w:rsidRPr="00241AAC" w:rsidRDefault="000036CD" w:rsidP="00852655">
            <w:pPr>
              <w:jc w:val="right"/>
              <w:rPr>
                <w:rFonts w:ascii="Times New Roman" w:hAnsi="Times New Roman" w:cs="Times New Roman"/>
                <w:b/>
                <w:bCs/>
                <w:color w:val="000000"/>
                <w:sz w:val="20"/>
                <w:szCs w:val="20"/>
              </w:rPr>
            </w:pPr>
            <w:r w:rsidRPr="00241AAC">
              <w:rPr>
                <w:rFonts w:ascii="Times New Roman" w:hAnsi="Times New Roman" w:cs="Times New Roman"/>
                <w:b/>
                <w:bCs/>
                <w:color w:val="000000"/>
                <w:sz w:val="20"/>
                <w:szCs w:val="20"/>
              </w:rPr>
              <w:t>10,516</w:t>
            </w:r>
          </w:p>
        </w:tc>
        <w:tc>
          <w:tcPr>
            <w:tcW w:w="777" w:type="pct"/>
            <w:noWrap/>
            <w:hideMark/>
          </w:tcPr>
          <w:p w14:paraId="05DB10F3" w14:textId="77777777" w:rsidR="000036CD" w:rsidRPr="00241AAC" w:rsidRDefault="000036CD" w:rsidP="00852655">
            <w:pPr>
              <w:jc w:val="right"/>
              <w:rPr>
                <w:rFonts w:ascii="Times New Roman" w:hAnsi="Times New Roman" w:cs="Times New Roman"/>
                <w:b/>
                <w:bCs/>
                <w:color w:val="000000"/>
                <w:sz w:val="20"/>
                <w:szCs w:val="20"/>
              </w:rPr>
            </w:pPr>
            <w:r w:rsidRPr="00241AAC">
              <w:rPr>
                <w:rFonts w:ascii="Times New Roman" w:hAnsi="Times New Roman" w:cs="Times New Roman"/>
                <w:b/>
                <w:bCs/>
                <w:color w:val="000000"/>
                <w:sz w:val="20"/>
                <w:szCs w:val="20"/>
              </w:rPr>
              <w:t>480.6</w:t>
            </w:r>
          </w:p>
        </w:tc>
        <w:tc>
          <w:tcPr>
            <w:tcW w:w="821" w:type="pct"/>
            <w:noWrap/>
            <w:hideMark/>
          </w:tcPr>
          <w:p w14:paraId="4025DE18" w14:textId="77777777" w:rsidR="000036CD" w:rsidRPr="00241AAC" w:rsidRDefault="000036CD" w:rsidP="00852655">
            <w:pPr>
              <w:jc w:val="right"/>
              <w:rPr>
                <w:rFonts w:ascii="Times New Roman" w:hAnsi="Times New Roman" w:cs="Times New Roman"/>
                <w:b/>
                <w:color w:val="000000"/>
                <w:sz w:val="20"/>
                <w:szCs w:val="20"/>
              </w:rPr>
            </w:pPr>
            <w:r w:rsidRPr="00241AAC">
              <w:rPr>
                <w:rFonts w:ascii="Times New Roman" w:hAnsi="Times New Roman" w:cs="Times New Roman"/>
                <w:b/>
                <w:color w:val="000000"/>
                <w:sz w:val="20"/>
                <w:szCs w:val="20"/>
              </w:rPr>
              <w:t>522</w:t>
            </w:r>
          </w:p>
        </w:tc>
        <w:tc>
          <w:tcPr>
            <w:tcW w:w="761" w:type="pct"/>
            <w:noWrap/>
            <w:hideMark/>
          </w:tcPr>
          <w:p w14:paraId="07C611D1" w14:textId="77777777" w:rsidR="000036CD" w:rsidRPr="00241AAC" w:rsidRDefault="000036CD" w:rsidP="00852655">
            <w:pPr>
              <w:jc w:val="right"/>
              <w:rPr>
                <w:rFonts w:ascii="Times New Roman" w:hAnsi="Times New Roman" w:cs="Times New Roman"/>
                <w:b/>
                <w:color w:val="000000"/>
                <w:sz w:val="20"/>
                <w:szCs w:val="20"/>
              </w:rPr>
            </w:pPr>
            <w:r w:rsidRPr="00241AAC">
              <w:rPr>
                <w:rFonts w:ascii="Times New Roman" w:hAnsi="Times New Roman" w:cs="Times New Roman"/>
                <w:b/>
                <w:color w:val="000000"/>
                <w:sz w:val="20"/>
                <w:szCs w:val="20"/>
              </w:rPr>
              <w:t>5.2%</w:t>
            </w:r>
          </w:p>
        </w:tc>
      </w:tr>
    </w:tbl>
    <w:p w14:paraId="7F935CDC" w14:textId="77777777" w:rsidR="004931DA" w:rsidRDefault="004931DA" w:rsidP="004931DA">
      <w:pPr>
        <w:pStyle w:val="ParaText"/>
      </w:pPr>
    </w:p>
    <w:p w14:paraId="796A56DD" w14:textId="23F5FFEB" w:rsidR="004931DA" w:rsidRPr="000036CD" w:rsidRDefault="004931DA" w:rsidP="004931DA">
      <w:pPr>
        <w:pStyle w:val="ParaText"/>
      </w:pPr>
      <w:r w:rsidRPr="000036CD">
        <w:lastRenderedPageBreak/>
        <w:t>It is possible that the ACS underestimates university vehicles as the ACS</w:t>
      </w:r>
      <w:r w:rsidR="002E6C39">
        <w:t>’s survey</w:t>
      </w:r>
      <w:r w:rsidRPr="000036CD">
        <w:t xml:space="preserve"> universe is occupied housing units. There is also potential for more double counting in the ACS because the question asks about vehicle availability while the MAVC draws from registered vehicles.</w:t>
      </w:r>
    </w:p>
    <w:p w14:paraId="47D73EBE" w14:textId="73563897" w:rsidR="000036CD" w:rsidRPr="00DC1D22" w:rsidRDefault="004931DA" w:rsidP="000036CD">
      <w:pPr>
        <w:pStyle w:val="ParaText"/>
        <w:rPr>
          <w:b/>
          <w:bCs/>
          <w:i/>
        </w:rPr>
      </w:pPr>
      <w:r w:rsidRPr="00DC1D22">
        <w:rPr>
          <w:b/>
          <w:bCs/>
          <w:i/>
        </w:rPr>
        <w:t xml:space="preserve">2010 Comparison with Cambridge Resident Parking Permit Data </w:t>
      </w:r>
    </w:p>
    <w:p w14:paraId="3AF64B7B" w14:textId="36DE3FC9" w:rsidR="004931DA" w:rsidRDefault="004931DA" w:rsidP="004931DA">
      <w:pPr>
        <w:pStyle w:val="ParaText"/>
      </w:pPr>
      <w:r w:rsidRPr="004931DA">
        <w:t>MAVC passenger vehicle estimate</w:t>
      </w:r>
      <w:r>
        <w:t xml:space="preserve"> data was also compared</w:t>
      </w:r>
      <w:r w:rsidRPr="004931DA">
        <w:t xml:space="preserve"> to residential parking permit data provided by the City of Cambridge. </w:t>
      </w:r>
      <w:r>
        <w:t>The</w:t>
      </w:r>
      <w:r w:rsidRPr="004931DA">
        <w:t xml:space="preserve"> MAVC passenger vehicles </w:t>
      </w:r>
      <w:r>
        <w:t xml:space="preserve">data was compared </w:t>
      </w:r>
      <w:r w:rsidRPr="004931DA">
        <w:t xml:space="preserve">to the permit data because commercial vehicles would likely not be included in the permit data. </w:t>
      </w:r>
      <w:r>
        <w:t>It was found that</w:t>
      </w:r>
      <w:r w:rsidRPr="004931DA">
        <w:t xml:space="preserve"> MAVC passenger vehicle estimate was approximately 7% higher than the Cambridge residential parking permit data, a difference o</w:t>
      </w:r>
      <w:r>
        <w:t xml:space="preserve">f approximately 3,000 vehicles. See </w:t>
      </w:r>
      <w:r w:rsidRPr="002A134C">
        <w:rPr>
          <w:sz w:val="24"/>
        </w:rPr>
        <w:fldChar w:fldCharType="begin"/>
      </w:r>
      <w:r w:rsidRPr="002A134C">
        <w:rPr>
          <w:sz w:val="24"/>
        </w:rPr>
        <w:instrText xml:space="preserve"> REF _Ref468889441 \h </w:instrText>
      </w:r>
      <w:r w:rsidR="002A134C">
        <w:rPr>
          <w:sz w:val="24"/>
        </w:rPr>
        <w:instrText xml:space="preserve"> \* MERGEFORMAT </w:instrText>
      </w:r>
      <w:r w:rsidRPr="002A134C">
        <w:rPr>
          <w:sz w:val="24"/>
        </w:rPr>
      </w:r>
      <w:r w:rsidRPr="002A134C">
        <w:rPr>
          <w:sz w:val="24"/>
        </w:rPr>
        <w:fldChar w:fldCharType="separate"/>
      </w:r>
      <w:r w:rsidR="00631613" w:rsidRPr="00631613">
        <w:rPr>
          <w:szCs w:val="20"/>
        </w:rPr>
        <w:t xml:space="preserve">Table </w:t>
      </w:r>
      <w:r w:rsidR="00631613" w:rsidRPr="00631613">
        <w:rPr>
          <w:noProof/>
          <w:szCs w:val="20"/>
        </w:rPr>
        <w:t>10</w:t>
      </w:r>
      <w:r w:rsidRPr="002A134C">
        <w:rPr>
          <w:sz w:val="24"/>
        </w:rPr>
        <w:fldChar w:fldCharType="end"/>
      </w:r>
      <w:r w:rsidRPr="002A134C">
        <w:rPr>
          <w:sz w:val="24"/>
        </w:rPr>
        <w:t xml:space="preserve"> </w:t>
      </w:r>
      <w:r>
        <w:t xml:space="preserve">below. </w:t>
      </w:r>
      <w:r w:rsidRPr="004931DA">
        <w:t xml:space="preserve"> </w:t>
      </w:r>
    </w:p>
    <w:p w14:paraId="606C3FA1" w14:textId="3FBE479B" w:rsidR="004931DA" w:rsidRPr="00226E4C" w:rsidRDefault="004931DA" w:rsidP="004931DA">
      <w:pPr>
        <w:pStyle w:val="Caption"/>
        <w:rPr>
          <w:rFonts w:ascii="Times New Roman" w:eastAsia="Times New Roman" w:hAnsi="Times New Roman" w:cs="Times New Roman"/>
          <w:sz w:val="20"/>
          <w:szCs w:val="20"/>
          <w:lang w:eastAsia="en-US"/>
        </w:rPr>
      </w:pPr>
      <w:bookmarkStart w:id="45" w:name="_Ref468889441"/>
      <w:r w:rsidRPr="00226E4C">
        <w:rPr>
          <w:sz w:val="20"/>
          <w:szCs w:val="20"/>
        </w:rPr>
        <w:t xml:space="preserve">Table </w:t>
      </w:r>
      <w:r w:rsidRPr="00226E4C">
        <w:rPr>
          <w:sz w:val="20"/>
          <w:szCs w:val="20"/>
        </w:rPr>
        <w:fldChar w:fldCharType="begin"/>
      </w:r>
      <w:r w:rsidRPr="00226E4C">
        <w:rPr>
          <w:sz w:val="20"/>
          <w:szCs w:val="20"/>
        </w:rPr>
        <w:instrText xml:space="preserve"> SEQ Table \* ARABIC </w:instrText>
      </w:r>
      <w:r w:rsidRPr="00226E4C">
        <w:rPr>
          <w:sz w:val="20"/>
          <w:szCs w:val="20"/>
        </w:rPr>
        <w:fldChar w:fldCharType="separate"/>
      </w:r>
      <w:r w:rsidR="00AD4785">
        <w:rPr>
          <w:noProof/>
          <w:sz w:val="20"/>
          <w:szCs w:val="20"/>
        </w:rPr>
        <w:t>10</w:t>
      </w:r>
      <w:r w:rsidRPr="00226E4C">
        <w:rPr>
          <w:sz w:val="20"/>
          <w:szCs w:val="20"/>
        </w:rPr>
        <w:fldChar w:fldCharType="end"/>
      </w:r>
      <w:bookmarkEnd w:id="45"/>
      <w:r w:rsidRPr="00226E4C">
        <w:rPr>
          <w:sz w:val="20"/>
          <w:szCs w:val="20"/>
        </w:rPr>
        <w:t>: Cambridge MAVC Passenger Vehicle and Cambridge Parking Permit Comparison (2012)</w:t>
      </w:r>
    </w:p>
    <w:tbl>
      <w:tblPr>
        <w:tblStyle w:val="AlternatingRows3"/>
        <w:tblW w:w="5000" w:type="pct"/>
        <w:tblLook w:val="04A0" w:firstRow="1" w:lastRow="0" w:firstColumn="1" w:lastColumn="0" w:noHBand="0" w:noVBand="1"/>
      </w:tblPr>
      <w:tblGrid>
        <w:gridCol w:w="2130"/>
        <w:gridCol w:w="1401"/>
        <w:gridCol w:w="2989"/>
        <w:gridCol w:w="2830"/>
      </w:tblGrid>
      <w:tr w:rsidR="004931DA" w:rsidRPr="00241AAC" w14:paraId="7A05D411" w14:textId="77777777" w:rsidTr="00241AAC">
        <w:trPr>
          <w:cnfStyle w:val="100000000000" w:firstRow="1" w:lastRow="0" w:firstColumn="0" w:lastColumn="0" w:oddVBand="0" w:evenVBand="0" w:oddHBand="0" w:evenHBand="0" w:firstRowFirstColumn="0" w:firstRowLastColumn="0" w:lastRowFirstColumn="0" w:lastRowLastColumn="0"/>
          <w:trHeight w:val="285"/>
        </w:trPr>
        <w:tc>
          <w:tcPr>
            <w:tcW w:w="1146" w:type="pct"/>
            <w:noWrap/>
            <w:hideMark/>
          </w:tcPr>
          <w:p w14:paraId="58FD9A14" w14:textId="77777777" w:rsidR="004931DA" w:rsidRPr="00241AAC" w:rsidRDefault="004931DA"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MAVC Passenger Vehicles</w:t>
            </w:r>
          </w:p>
        </w:tc>
        <w:tc>
          <w:tcPr>
            <w:tcW w:w="845" w:type="pct"/>
            <w:noWrap/>
            <w:hideMark/>
          </w:tcPr>
          <w:p w14:paraId="140CD453" w14:textId="77777777" w:rsidR="004931DA" w:rsidRPr="00241AAC" w:rsidRDefault="004931DA"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Resident Permits</w:t>
            </w:r>
          </w:p>
        </w:tc>
        <w:tc>
          <w:tcPr>
            <w:tcW w:w="1510" w:type="pct"/>
            <w:noWrap/>
            <w:hideMark/>
          </w:tcPr>
          <w:p w14:paraId="4B3A2C93" w14:textId="77777777" w:rsidR="004931DA" w:rsidRPr="00241AAC" w:rsidRDefault="004931DA"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Difference (Passenger MAVC - Permit)</w:t>
            </w:r>
          </w:p>
        </w:tc>
        <w:tc>
          <w:tcPr>
            <w:tcW w:w="1499" w:type="pct"/>
            <w:noWrap/>
            <w:hideMark/>
          </w:tcPr>
          <w:p w14:paraId="11CCD4A1" w14:textId="77777777" w:rsidR="004931DA" w:rsidRPr="00241AAC" w:rsidRDefault="004931DA"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Passenger MAVC Percent Difference</w:t>
            </w:r>
          </w:p>
        </w:tc>
      </w:tr>
      <w:tr w:rsidR="004931DA" w:rsidRPr="00241AAC" w14:paraId="6B7AC88A" w14:textId="77777777" w:rsidTr="00241AAC">
        <w:trPr>
          <w:cnfStyle w:val="000000100000" w:firstRow="0" w:lastRow="0" w:firstColumn="0" w:lastColumn="0" w:oddVBand="0" w:evenVBand="0" w:oddHBand="1" w:evenHBand="0" w:firstRowFirstColumn="0" w:firstRowLastColumn="0" w:lastRowFirstColumn="0" w:lastRowLastColumn="0"/>
          <w:trHeight w:val="285"/>
        </w:trPr>
        <w:tc>
          <w:tcPr>
            <w:tcW w:w="1146" w:type="pct"/>
            <w:noWrap/>
            <w:hideMark/>
          </w:tcPr>
          <w:p w14:paraId="4CA57720" w14:textId="77777777" w:rsidR="004931DA" w:rsidRPr="00241AAC" w:rsidRDefault="004931DA"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41,483</w:t>
            </w:r>
          </w:p>
        </w:tc>
        <w:tc>
          <w:tcPr>
            <w:tcW w:w="845" w:type="pct"/>
            <w:noWrap/>
            <w:hideMark/>
          </w:tcPr>
          <w:p w14:paraId="02D7F67F" w14:textId="77777777" w:rsidR="004931DA" w:rsidRPr="00241AAC" w:rsidRDefault="004931DA"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38,521</w:t>
            </w:r>
          </w:p>
        </w:tc>
        <w:tc>
          <w:tcPr>
            <w:tcW w:w="1510" w:type="pct"/>
            <w:noWrap/>
            <w:hideMark/>
          </w:tcPr>
          <w:p w14:paraId="321820E2" w14:textId="77777777" w:rsidR="004931DA" w:rsidRPr="00241AAC" w:rsidRDefault="004931DA"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2,962</w:t>
            </w:r>
          </w:p>
        </w:tc>
        <w:tc>
          <w:tcPr>
            <w:tcW w:w="1499" w:type="pct"/>
            <w:noWrap/>
            <w:hideMark/>
          </w:tcPr>
          <w:p w14:paraId="62B2412A" w14:textId="77777777" w:rsidR="004931DA" w:rsidRPr="00241AAC" w:rsidRDefault="004931DA"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7.1%</w:t>
            </w:r>
          </w:p>
        </w:tc>
      </w:tr>
    </w:tbl>
    <w:p w14:paraId="22C010E3" w14:textId="591CFB08" w:rsidR="000036CD" w:rsidRDefault="000036CD" w:rsidP="000036CD">
      <w:pPr>
        <w:pStyle w:val="ParaText"/>
        <w:rPr>
          <w:b/>
          <w:bCs/>
        </w:rPr>
      </w:pPr>
    </w:p>
    <w:p w14:paraId="1938809B" w14:textId="541F5D34" w:rsidR="00DD7256" w:rsidRPr="00DC1D22" w:rsidRDefault="00DD7256" w:rsidP="000036CD">
      <w:pPr>
        <w:pStyle w:val="ParaText"/>
        <w:rPr>
          <w:b/>
          <w:bCs/>
          <w:i/>
        </w:rPr>
      </w:pPr>
      <w:r w:rsidRPr="00DC1D22">
        <w:rPr>
          <w:b/>
          <w:bCs/>
          <w:i/>
        </w:rPr>
        <w:t>Electric Vehicle Charging Data</w:t>
      </w:r>
    </w:p>
    <w:p w14:paraId="27AA8790" w14:textId="0F14FF94" w:rsidR="00DD7256" w:rsidRDefault="00DD7256" w:rsidP="00466A63">
      <w:pPr>
        <w:pStyle w:val="ParaText"/>
        <w:rPr>
          <w:lang w:val="en-GB"/>
        </w:rPr>
      </w:pPr>
      <w:r>
        <w:t xml:space="preserve">Scope 2 electricity emissions associated with the on-road transportation sector were also quantified. </w:t>
      </w:r>
      <w:r w:rsidRPr="00DD7256">
        <w:rPr>
          <w:lang w:val="en-GB"/>
        </w:rPr>
        <w:t xml:space="preserve">MAPC contacted </w:t>
      </w:r>
      <w:proofErr w:type="spellStart"/>
      <w:r w:rsidRPr="00DD7256">
        <w:rPr>
          <w:lang w:val="en-GB"/>
        </w:rPr>
        <w:t>ChargePoint</w:t>
      </w:r>
      <w:proofErr w:type="spellEnd"/>
      <w:r w:rsidRPr="00DD7256">
        <w:rPr>
          <w:lang w:val="en-GB"/>
        </w:rPr>
        <w:t xml:space="preserve">, an electric vehicle (EV) charging network company. In 2012, the City of Cambridge worked with </w:t>
      </w:r>
      <w:proofErr w:type="spellStart"/>
      <w:r w:rsidRPr="00DD7256">
        <w:rPr>
          <w:lang w:val="en-GB"/>
        </w:rPr>
        <w:t>ChargePoint</w:t>
      </w:r>
      <w:proofErr w:type="spellEnd"/>
      <w:r w:rsidRPr="00DD7256">
        <w:rPr>
          <w:lang w:val="en-GB"/>
        </w:rPr>
        <w:t xml:space="preserve"> to install </w:t>
      </w:r>
      <w:r w:rsidR="002E6C39">
        <w:rPr>
          <w:lang w:val="en-GB"/>
        </w:rPr>
        <w:t xml:space="preserve">25 </w:t>
      </w:r>
      <w:r w:rsidRPr="00DD7256">
        <w:rPr>
          <w:lang w:val="en-GB"/>
        </w:rPr>
        <w:t>EV charging stations</w:t>
      </w:r>
      <w:r w:rsidRPr="000A47ED">
        <w:rPr>
          <w:rStyle w:val="FootnoteReference"/>
          <w:sz w:val="18"/>
          <w:szCs w:val="18"/>
          <w:lang w:val="en-GB"/>
        </w:rPr>
        <w:footnoteReference w:id="11"/>
      </w:r>
      <w:r w:rsidRPr="00DD7256">
        <w:rPr>
          <w:lang w:val="en-GB"/>
        </w:rPr>
        <w:t xml:space="preserve">. </w:t>
      </w:r>
      <w:proofErr w:type="spellStart"/>
      <w:r w:rsidRPr="00DD7256">
        <w:rPr>
          <w:lang w:val="en-GB"/>
        </w:rPr>
        <w:t>ChargePoint</w:t>
      </w:r>
      <w:proofErr w:type="spellEnd"/>
      <w:r w:rsidRPr="00DD7256">
        <w:rPr>
          <w:lang w:val="en-GB"/>
        </w:rPr>
        <w:t xml:space="preserve"> provided the number of EV charging ports in 2012 and their total electric fuel use for the year</w:t>
      </w:r>
      <w:r w:rsidR="00466A63">
        <w:rPr>
          <w:lang w:val="en-GB"/>
        </w:rPr>
        <w:t>.</w:t>
      </w:r>
    </w:p>
    <w:p w14:paraId="10D65FAF" w14:textId="2C9C12F9" w:rsidR="00466A63" w:rsidRPr="00226E4C" w:rsidRDefault="00466A63" w:rsidP="00466A63">
      <w:pPr>
        <w:pStyle w:val="Caption"/>
        <w:rPr>
          <w:rFonts w:ascii="Times New Roman" w:eastAsia="Times New Roman" w:hAnsi="Times New Roman" w:cs="Times New Roman"/>
          <w:sz w:val="20"/>
          <w:szCs w:val="20"/>
          <w:lang w:eastAsia="en-US"/>
        </w:rPr>
      </w:pPr>
      <w:r w:rsidRPr="00226E4C">
        <w:rPr>
          <w:sz w:val="20"/>
          <w:szCs w:val="20"/>
        </w:rPr>
        <w:t xml:space="preserve">Table </w:t>
      </w:r>
      <w:r w:rsidRPr="00226E4C">
        <w:rPr>
          <w:sz w:val="20"/>
          <w:szCs w:val="20"/>
        </w:rPr>
        <w:fldChar w:fldCharType="begin"/>
      </w:r>
      <w:r w:rsidRPr="00226E4C">
        <w:rPr>
          <w:sz w:val="20"/>
          <w:szCs w:val="20"/>
        </w:rPr>
        <w:instrText xml:space="preserve"> SEQ Table \* ARABIC </w:instrText>
      </w:r>
      <w:r w:rsidRPr="00226E4C">
        <w:rPr>
          <w:sz w:val="20"/>
          <w:szCs w:val="20"/>
        </w:rPr>
        <w:fldChar w:fldCharType="separate"/>
      </w:r>
      <w:r w:rsidR="00AD4785">
        <w:rPr>
          <w:noProof/>
          <w:sz w:val="20"/>
          <w:szCs w:val="20"/>
        </w:rPr>
        <w:t>11</w:t>
      </w:r>
      <w:r w:rsidRPr="00226E4C">
        <w:rPr>
          <w:sz w:val="20"/>
          <w:szCs w:val="20"/>
        </w:rPr>
        <w:fldChar w:fldCharType="end"/>
      </w:r>
      <w:r w:rsidRPr="00226E4C">
        <w:rPr>
          <w:sz w:val="20"/>
          <w:szCs w:val="20"/>
        </w:rPr>
        <w:t>: EV Charging Ports and Electric Fuel Use in Cambridge (2012)</w:t>
      </w:r>
    </w:p>
    <w:tbl>
      <w:tblPr>
        <w:tblStyle w:val="AlternatingRows3"/>
        <w:tblW w:w="5000" w:type="pct"/>
        <w:tblLook w:val="04A0" w:firstRow="1" w:lastRow="0" w:firstColumn="1" w:lastColumn="0" w:noHBand="0" w:noVBand="1"/>
      </w:tblPr>
      <w:tblGrid>
        <w:gridCol w:w="2872"/>
        <w:gridCol w:w="2487"/>
        <w:gridCol w:w="3991"/>
      </w:tblGrid>
      <w:tr w:rsidR="00466A63" w:rsidRPr="00241AAC" w14:paraId="38F6C9A1" w14:textId="77777777" w:rsidTr="00241AAC">
        <w:trPr>
          <w:cnfStyle w:val="100000000000" w:firstRow="1" w:lastRow="0" w:firstColumn="0" w:lastColumn="0" w:oddVBand="0" w:evenVBand="0" w:oddHBand="0" w:evenHBand="0" w:firstRowFirstColumn="0" w:firstRowLastColumn="0" w:lastRowFirstColumn="0" w:lastRowLastColumn="0"/>
          <w:trHeight w:val="285"/>
        </w:trPr>
        <w:tc>
          <w:tcPr>
            <w:tcW w:w="1536" w:type="pct"/>
            <w:noWrap/>
            <w:hideMark/>
          </w:tcPr>
          <w:p w14:paraId="7CE833AA" w14:textId="77777777" w:rsidR="00466A63" w:rsidRPr="00241AAC" w:rsidRDefault="00466A63"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 xml:space="preserve">Total </w:t>
            </w:r>
            <w:proofErr w:type="spellStart"/>
            <w:r w:rsidRPr="00241AAC">
              <w:rPr>
                <w:rFonts w:ascii="Times New Roman" w:hAnsi="Times New Roman" w:cs="Times New Roman"/>
                <w:b w:val="0"/>
                <w:bCs/>
                <w:color w:val="FFFFFF"/>
                <w:sz w:val="20"/>
                <w:szCs w:val="20"/>
              </w:rPr>
              <w:t>ChargePoint</w:t>
            </w:r>
            <w:proofErr w:type="spellEnd"/>
            <w:r w:rsidRPr="00241AAC">
              <w:rPr>
                <w:rFonts w:ascii="Times New Roman" w:hAnsi="Times New Roman" w:cs="Times New Roman"/>
                <w:b w:val="0"/>
                <w:bCs/>
                <w:color w:val="FFFFFF"/>
                <w:sz w:val="20"/>
                <w:szCs w:val="20"/>
              </w:rPr>
              <w:t xml:space="preserve"> Ports </w:t>
            </w:r>
          </w:p>
        </w:tc>
        <w:tc>
          <w:tcPr>
            <w:tcW w:w="1330" w:type="pct"/>
            <w:noWrap/>
            <w:hideMark/>
          </w:tcPr>
          <w:p w14:paraId="7313054E" w14:textId="77777777" w:rsidR="00466A63" w:rsidRPr="00241AAC" w:rsidRDefault="00466A63"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Electric Fuel (MWh)</w:t>
            </w:r>
          </w:p>
        </w:tc>
        <w:tc>
          <w:tcPr>
            <w:tcW w:w="2134" w:type="pct"/>
            <w:noWrap/>
            <w:hideMark/>
          </w:tcPr>
          <w:p w14:paraId="3BBF679D" w14:textId="77777777" w:rsidR="00466A63" w:rsidRPr="00241AAC" w:rsidRDefault="00466A63" w:rsidP="00852655">
            <w:pPr>
              <w:rPr>
                <w:rFonts w:ascii="Times New Roman" w:hAnsi="Times New Roman" w:cs="Times New Roman"/>
                <w:b w:val="0"/>
                <w:bCs/>
                <w:color w:val="FFFFFF"/>
                <w:sz w:val="20"/>
                <w:szCs w:val="20"/>
              </w:rPr>
            </w:pPr>
            <w:r w:rsidRPr="00241AAC">
              <w:rPr>
                <w:rFonts w:ascii="Times New Roman" w:hAnsi="Times New Roman" w:cs="Times New Roman"/>
                <w:b w:val="0"/>
                <w:bCs/>
                <w:color w:val="FFFFFF"/>
                <w:sz w:val="20"/>
                <w:szCs w:val="20"/>
              </w:rPr>
              <w:t>Average Fuel Use per Station (MWh)</w:t>
            </w:r>
          </w:p>
        </w:tc>
      </w:tr>
      <w:tr w:rsidR="00466A63" w:rsidRPr="00241AAC" w14:paraId="13018360" w14:textId="77777777" w:rsidTr="00241AAC">
        <w:trPr>
          <w:cnfStyle w:val="000000100000" w:firstRow="0" w:lastRow="0" w:firstColumn="0" w:lastColumn="0" w:oddVBand="0" w:evenVBand="0" w:oddHBand="1" w:evenHBand="0" w:firstRowFirstColumn="0" w:firstRowLastColumn="0" w:lastRowFirstColumn="0" w:lastRowLastColumn="0"/>
          <w:trHeight w:val="285"/>
        </w:trPr>
        <w:tc>
          <w:tcPr>
            <w:tcW w:w="1536" w:type="pct"/>
            <w:noWrap/>
            <w:hideMark/>
          </w:tcPr>
          <w:p w14:paraId="6EA1E5ED" w14:textId="77777777" w:rsidR="00466A63" w:rsidRPr="00241AAC" w:rsidRDefault="00466A63"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25</w:t>
            </w:r>
          </w:p>
        </w:tc>
        <w:tc>
          <w:tcPr>
            <w:tcW w:w="1330" w:type="pct"/>
            <w:noWrap/>
            <w:hideMark/>
          </w:tcPr>
          <w:p w14:paraId="53FE9707" w14:textId="77777777" w:rsidR="00466A63" w:rsidRPr="00241AAC" w:rsidRDefault="00466A63"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14.47</w:t>
            </w:r>
          </w:p>
        </w:tc>
        <w:tc>
          <w:tcPr>
            <w:tcW w:w="2134" w:type="pct"/>
            <w:noWrap/>
            <w:hideMark/>
          </w:tcPr>
          <w:p w14:paraId="68F4D0F7" w14:textId="77777777" w:rsidR="00466A63" w:rsidRPr="00241AAC" w:rsidRDefault="00466A63" w:rsidP="00852655">
            <w:pPr>
              <w:jc w:val="right"/>
              <w:rPr>
                <w:rFonts w:ascii="Times New Roman" w:hAnsi="Times New Roman" w:cs="Times New Roman"/>
                <w:color w:val="000000"/>
                <w:sz w:val="20"/>
                <w:szCs w:val="20"/>
              </w:rPr>
            </w:pPr>
            <w:r w:rsidRPr="00241AAC">
              <w:rPr>
                <w:rFonts w:ascii="Times New Roman" w:hAnsi="Times New Roman" w:cs="Times New Roman"/>
                <w:color w:val="000000"/>
                <w:sz w:val="20"/>
                <w:szCs w:val="20"/>
              </w:rPr>
              <w:t>0.5788</w:t>
            </w:r>
          </w:p>
        </w:tc>
      </w:tr>
    </w:tbl>
    <w:p w14:paraId="5BC406C3" w14:textId="77777777" w:rsidR="0095484C" w:rsidRPr="0095484C" w:rsidRDefault="0095484C" w:rsidP="0095484C">
      <w:pPr>
        <w:pStyle w:val="ParaText"/>
        <w:rPr>
          <w:b/>
          <w:bCs/>
        </w:rPr>
      </w:pPr>
    </w:p>
    <w:p w14:paraId="1DEED5E3" w14:textId="1C374D89" w:rsidR="0095484C" w:rsidRDefault="0034228D" w:rsidP="0095484C">
      <w:pPr>
        <w:pStyle w:val="ParaText"/>
        <w:rPr>
          <w:b/>
          <w:bCs/>
        </w:rPr>
      </w:pPr>
      <w:r>
        <w:rPr>
          <w:b/>
          <w:bCs/>
        </w:rPr>
        <w:t xml:space="preserve">GPC Quantification </w:t>
      </w:r>
      <w:r w:rsidR="0095484C" w:rsidRPr="0095484C">
        <w:rPr>
          <w:b/>
          <w:bCs/>
        </w:rPr>
        <w:t>Method</w:t>
      </w:r>
      <w:r>
        <w:rPr>
          <w:b/>
          <w:bCs/>
        </w:rPr>
        <w:t xml:space="preserve"> Used</w:t>
      </w:r>
    </w:p>
    <w:p w14:paraId="342C4AB8" w14:textId="77777777" w:rsidR="0034228D" w:rsidRDefault="0095484C" w:rsidP="0034228D">
      <w:pPr>
        <w:pStyle w:val="ParaText"/>
      </w:pPr>
      <w:r>
        <w:t>In accordance with Section 7.3 of the GPC, the resident activity method was used to quantify on-road transportation emissions in Cambridge. This method quantifies emissions from transportation activity undertaken by city residents and businesses that ga</w:t>
      </w:r>
      <w:r w:rsidR="005D1313">
        <w:t xml:space="preserve">rage their vehicle in the city. </w:t>
      </w:r>
    </w:p>
    <w:p w14:paraId="22A88212" w14:textId="0B67DB05" w:rsidR="009C4538" w:rsidRDefault="005D1313" w:rsidP="005D1313">
      <w:pPr>
        <w:pStyle w:val="ParaText"/>
      </w:pPr>
      <w:r>
        <w:lastRenderedPageBreak/>
        <w:t xml:space="preserve">There are several methodologies recommended by the GPC for calculating on-road transportation emissions. There are a few key benefits of the resident activity method. </w:t>
      </w:r>
      <w:r w:rsidR="00392285">
        <w:t xml:space="preserve">The MAVC data used for the resident activity methodology is free and will be available to the City on an annual basis, ensuring that this methodology can be replicated in future years. Some commonly used methodologies such as the in-boundary and origin-destination methodologies for calculating on-road transportation emissions require costly modeling that can be difficult to replicate from year to year. Secondly, the resident activity methodology is a good approach when double counting with other cities in the region is a concern. If each city only quantifies the impact of vehicles registered in their city, the complications that arise from allocating cross-boundary trips to multiple jurisdictions can be avoided. </w:t>
      </w:r>
    </w:p>
    <w:p w14:paraId="71AEDFCD" w14:textId="25EBDFD2" w:rsidR="009C4538" w:rsidRDefault="00C8101E" w:rsidP="009C4538">
      <w:pPr>
        <w:pStyle w:val="BodyText"/>
        <w:rPr>
          <w:rFonts w:ascii="Times New Roman" w:hAnsi="Times New Roman" w:cs="Times New Roman"/>
          <w:b/>
          <w:bCs/>
          <w:sz w:val="22"/>
          <w:szCs w:val="22"/>
        </w:rPr>
      </w:pPr>
      <w:r>
        <w:rPr>
          <w:rFonts w:ascii="Times New Roman" w:hAnsi="Times New Roman" w:cs="Times New Roman"/>
          <w:b/>
          <w:bCs/>
          <w:sz w:val="22"/>
          <w:szCs w:val="22"/>
        </w:rPr>
        <w:t>Emissions Factor Used</w:t>
      </w:r>
      <w:r w:rsidR="009C4538" w:rsidRPr="00250C26">
        <w:rPr>
          <w:rFonts w:ascii="Times New Roman" w:hAnsi="Times New Roman" w:cs="Times New Roman"/>
          <w:b/>
          <w:bCs/>
          <w:sz w:val="22"/>
          <w:szCs w:val="22"/>
        </w:rPr>
        <w:t xml:space="preserve"> </w:t>
      </w:r>
    </w:p>
    <w:p w14:paraId="5CCCABB7" w14:textId="753CCE52" w:rsidR="009C4538" w:rsidRDefault="009C4538" w:rsidP="009C4538">
      <w:pPr>
        <w:pStyle w:val="BodyText"/>
        <w:rPr>
          <w:rFonts w:ascii="Times New Roman" w:hAnsi="Times New Roman" w:cs="Times New Roman"/>
          <w:sz w:val="22"/>
          <w:szCs w:val="22"/>
        </w:rPr>
      </w:pPr>
      <w:r>
        <w:rPr>
          <w:rFonts w:ascii="Times New Roman" w:hAnsi="Times New Roman" w:cs="Times New Roman"/>
          <w:sz w:val="22"/>
          <w:szCs w:val="22"/>
        </w:rPr>
        <w:t xml:space="preserve">Diesel and </w:t>
      </w:r>
      <w:r w:rsidR="00934C2E">
        <w:rPr>
          <w:rFonts w:ascii="Times New Roman" w:hAnsi="Times New Roman" w:cs="Times New Roman"/>
          <w:sz w:val="22"/>
          <w:szCs w:val="22"/>
        </w:rPr>
        <w:t>gasoline</w:t>
      </w:r>
      <w:r>
        <w:rPr>
          <w:rFonts w:ascii="Times New Roman" w:hAnsi="Times New Roman" w:cs="Times New Roman"/>
          <w:sz w:val="22"/>
          <w:szCs w:val="22"/>
        </w:rPr>
        <w:t xml:space="preserve"> emission factors are from TCR and electricity emission factor is from ISO New England</w:t>
      </w:r>
      <w:r w:rsidR="00814505">
        <w:rPr>
          <w:rFonts w:ascii="Times New Roman" w:hAnsi="Times New Roman" w:cs="Times New Roman"/>
          <w:sz w:val="22"/>
          <w:szCs w:val="22"/>
        </w:rPr>
        <w:t xml:space="preserve"> as provided in </w:t>
      </w:r>
      <w:r w:rsidR="00814505">
        <w:rPr>
          <w:rFonts w:ascii="Times New Roman" w:hAnsi="Times New Roman" w:cs="Times New Roman"/>
          <w:sz w:val="22"/>
          <w:szCs w:val="22"/>
        </w:rPr>
        <w:fldChar w:fldCharType="begin"/>
      </w:r>
      <w:r w:rsidR="00814505">
        <w:rPr>
          <w:rFonts w:ascii="Times New Roman" w:hAnsi="Times New Roman" w:cs="Times New Roman"/>
          <w:sz w:val="22"/>
          <w:szCs w:val="22"/>
        </w:rPr>
        <w:instrText xml:space="preserve"> REF _Ref477436969 \h  \* MERGEFORMAT </w:instrText>
      </w:r>
      <w:r w:rsidR="00814505">
        <w:rPr>
          <w:rFonts w:ascii="Times New Roman" w:hAnsi="Times New Roman" w:cs="Times New Roman"/>
          <w:sz w:val="22"/>
          <w:szCs w:val="22"/>
        </w:rPr>
      </w:r>
      <w:r w:rsidR="00814505">
        <w:rPr>
          <w:rFonts w:ascii="Times New Roman" w:hAnsi="Times New Roman" w:cs="Times New Roman"/>
          <w:sz w:val="22"/>
          <w:szCs w:val="22"/>
        </w:rPr>
        <w:fldChar w:fldCharType="separate"/>
      </w:r>
      <w:r w:rsidR="00B043C3" w:rsidRPr="00B043C3">
        <w:rPr>
          <w:rFonts w:ascii="Times New Roman" w:hAnsi="Times New Roman" w:cs="Times New Roman"/>
          <w:sz w:val="22"/>
          <w:szCs w:val="22"/>
        </w:rPr>
        <w:t>Table 12</w:t>
      </w:r>
      <w:r w:rsidR="00814505">
        <w:rPr>
          <w:rFonts w:ascii="Times New Roman" w:hAnsi="Times New Roman" w:cs="Times New Roman"/>
          <w:sz w:val="22"/>
          <w:szCs w:val="22"/>
        </w:rPr>
        <w:fldChar w:fldCharType="end"/>
      </w:r>
      <w:r>
        <w:rPr>
          <w:rFonts w:ascii="Times New Roman" w:hAnsi="Times New Roman" w:cs="Times New Roman"/>
          <w:sz w:val="22"/>
          <w:szCs w:val="22"/>
        </w:rPr>
        <w:t xml:space="preserve">. </w:t>
      </w:r>
    </w:p>
    <w:p w14:paraId="27A53C18" w14:textId="0E540AEE" w:rsidR="00814505" w:rsidRPr="00814505" w:rsidRDefault="00814505" w:rsidP="00814505">
      <w:pPr>
        <w:pStyle w:val="Caption"/>
        <w:rPr>
          <w:bCs w:val="0"/>
          <w:sz w:val="20"/>
          <w:szCs w:val="20"/>
        </w:rPr>
      </w:pPr>
      <w:bookmarkStart w:id="46" w:name="_Ref477436969"/>
      <w:r w:rsidRPr="00814505">
        <w:rPr>
          <w:sz w:val="20"/>
          <w:szCs w:val="20"/>
        </w:rPr>
        <w:t xml:space="preserve">Table </w:t>
      </w:r>
      <w:r w:rsidRPr="00814505">
        <w:rPr>
          <w:sz w:val="20"/>
          <w:szCs w:val="20"/>
        </w:rPr>
        <w:fldChar w:fldCharType="begin"/>
      </w:r>
      <w:r w:rsidRPr="00814505">
        <w:rPr>
          <w:sz w:val="20"/>
          <w:szCs w:val="20"/>
        </w:rPr>
        <w:instrText xml:space="preserve"> SEQ Table \* ARABIC </w:instrText>
      </w:r>
      <w:r w:rsidRPr="00814505">
        <w:rPr>
          <w:sz w:val="20"/>
          <w:szCs w:val="20"/>
        </w:rPr>
        <w:fldChar w:fldCharType="separate"/>
      </w:r>
      <w:r w:rsidR="00AD4785">
        <w:rPr>
          <w:noProof/>
          <w:sz w:val="20"/>
          <w:szCs w:val="20"/>
        </w:rPr>
        <w:t>12</w:t>
      </w:r>
      <w:r w:rsidRPr="00814505">
        <w:rPr>
          <w:sz w:val="20"/>
          <w:szCs w:val="20"/>
        </w:rPr>
        <w:fldChar w:fldCharType="end"/>
      </w:r>
      <w:bookmarkEnd w:id="46"/>
      <w:r w:rsidRPr="00814505">
        <w:rPr>
          <w:sz w:val="20"/>
          <w:szCs w:val="20"/>
        </w:rPr>
        <w:t xml:space="preserve">: </w:t>
      </w:r>
      <w:r w:rsidRPr="00814505">
        <w:rPr>
          <w:bCs w:val="0"/>
          <w:sz w:val="20"/>
          <w:szCs w:val="20"/>
        </w:rPr>
        <w:t>Public Transit Emission Factors</w:t>
      </w:r>
    </w:p>
    <w:tbl>
      <w:tblPr>
        <w:tblStyle w:val="AlternatingRows3"/>
        <w:tblW w:w="0" w:type="auto"/>
        <w:tblLook w:val="04A0" w:firstRow="1" w:lastRow="0" w:firstColumn="1" w:lastColumn="0" w:noHBand="0" w:noVBand="1"/>
      </w:tblPr>
      <w:tblGrid>
        <w:gridCol w:w="1818"/>
        <w:gridCol w:w="1939"/>
        <w:gridCol w:w="1940"/>
        <w:gridCol w:w="1940"/>
      </w:tblGrid>
      <w:tr w:rsidR="009C4538" w:rsidRPr="00241AAC" w14:paraId="59039F6B" w14:textId="77777777" w:rsidTr="00241AAC">
        <w:trPr>
          <w:cnfStyle w:val="100000000000" w:firstRow="1" w:lastRow="0" w:firstColumn="0" w:lastColumn="0" w:oddVBand="0" w:evenVBand="0" w:oddHBand="0" w:evenHBand="0" w:firstRowFirstColumn="0" w:firstRowLastColumn="0" w:lastRowFirstColumn="0" w:lastRowLastColumn="0"/>
        </w:trPr>
        <w:tc>
          <w:tcPr>
            <w:tcW w:w="1818" w:type="dxa"/>
          </w:tcPr>
          <w:p w14:paraId="49E190D2" w14:textId="77777777" w:rsidR="009C4538" w:rsidRPr="00241AAC" w:rsidRDefault="009C4538" w:rsidP="00C30DC0">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Fuel Type</w:t>
            </w:r>
          </w:p>
        </w:tc>
        <w:tc>
          <w:tcPr>
            <w:tcW w:w="1939" w:type="dxa"/>
          </w:tcPr>
          <w:p w14:paraId="6D7DA3B4" w14:textId="77777777" w:rsidR="009C4538" w:rsidRPr="00241AAC" w:rsidRDefault="009C4538" w:rsidP="00C30DC0">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 xml:space="preserve">Emission Factor </w:t>
            </w:r>
          </w:p>
        </w:tc>
        <w:tc>
          <w:tcPr>
            <w:tcW w:w="1940" w:type="dxa"/>
          </w:tcPr>
          <w:p w14:paraId="07FE11F3" w14:textId="77777777" w:rsidR="009C4538" w:rsidRPr="00241AAC" w:rsidRDefault="009C4538" w:rsidP="00C30DC0">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Emission Factor Units</w:t>
            </w:r>
          </w:p>
          <w:p w14:paraId="39035DEF" w14:textId="77777777" w:rsidR="009C4538" w:rsidRPr="00241AAC" w:rsidRDefault="009C4538" w:rsidP="00C30DC0">
            <w:pPr>
              <w:pStyle w:val="NoSpacing"/>
              <w:rPr>
                <w:rFonts w:ascii="Times New Roman" w:hAnsi="Times New Roman" w:cs="Times New Roman"/>
                <w:b w:val="0"/>
                <w:bCs/>
                <w:sz w:val="20"/>
                <w:szCs w:val="20"/>
              </w:rPr>
            </w:pPr>
          </w:p>
        </w:tc>
        <w:tc>
          <w:tcPr>
            <w:tcW w:w="1940" w:type="dxa"/>
          </w:tcPr>
          <w:p w14:paraId="51377EAD" w14:textId="77777777" w:rsidR="009C4538" w:rsidRPr="00241AAC" w:rsidRDefault="009C4538" w:rsidP="00C30DC0">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Source</w:t>
            </w:r>
          </w:p>
        </w:tc>
      </w:tr>
      <w:tr w:rsidR="009C4538" w:rsidRPr="00241AAC" w14:paraId="52BD1450" w14:textId="77777777" w:rsidTr="00241AAC">
        <w:trPr>
          <w:cnfStyle w:val="000000100000" w:firstRow="0" w:lastRow="0" w:firstColumn="0" w:lastColumn="0" w:oddVBand="0" w:evenVBand="0" w:oddHBand="1" w:evenHBand="0" w:firstRowFirstColumn="0" w:firstRowLastColumn="0" w:lastRowFirstColumn="0" w:lastRowLastColumn="0"/>
        </w:trPr>
        <w:tc>
          <w:tcPr>
            <w:tcW w:w="1818" w:type="dxa"/>
          </w:tcPr>
          <w:p w14:paraId="7B07AD46" w14:textId="154A3A4B"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Gasoline</w:t>
            </w:r>
          </w:p>
        </w:tc>
        <w:tc>
          <w:tcPr>
            <w:tcW w:w="1939" w:type="dxa"/>
          </w:tcPr>
          <w:p w14:paraId="708F5BB9" w14:textId="23D36270"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0.0103</w:t>
            </w:r>
            <w:r w:rsidR="008143AA" w:rsidRPr="00241AAC">
              <w:rPr>
                <w:rFonts w:ascii="Times New Roman" w:hAnsi="Times New Roman" w:cs="Times New Roman"/>
                <w:sz w:val="20"/>
                <w:szCs w:val="20"/>
              </w:rPr>
              <w:t>2</w:t>
            </w:r>
          </w:p>
        </w:tc>
        <w:tc>
          <w:tcPr>
            <w:tcW w:w="1940" w:type="dxa"/>
          </w:tcPr>
          <w:p w14:paraId="46BECDCE" w14:textId="77777777"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MT CO2e / gallon</w:t>
            </w:r>
          </w:p>
        </w:tc>
        <w:tc>
          <w:tcPr>
            <w:tcW w:w="1940" w:type="dxa"/>
          </w:tcPr>
          <w:p w14:paraId="20EA2C95" w14:textId="77777777"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TCR</w:t>
            </w:r>
          </w:p>
        </w:tc>
      </w:tr>
      <w:tr w:rsidR="009C4538" w:rsidRPr="00241AAC" w14:paraId="246C67A4" w14:textId="77777777" w:rsidTr="00241AAC">
        <w:trPr>
          <w:cnfStyle w:val="000000010000" w:firstRow="0" w:lastRow="0" w:firstColumn="0" w:lastColumn="0" w:oddVBand="0" w:evenVBand="0" w:oddHBand="0" w:evenHBand="1" w:firstRowFirstColumn="0" w:firstRowLastColumn="0" w:lastRowFirstColumn="0" w:lastRowLastColumn="0"/>
        </w:trPr>
        <w:tc>
          <w:tcPr>
            <w:tcW w:w="1818" w:type="dxa"/>
          </w:tcPr>
          <w:p w14:paraId="3AC12624" w14:textId="305E7F26"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Diesel</w:t>
            </w:r>
          </w:p>
        </w:tc>
        <w:tc>
          <w:tcPr>
            <w:tcW w:w="1939" w:type="dxa"/>
          </w:tcPr>
          <w:p w14:paraId="1EE10E31" w14:textId="201C45EE"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0.01033</w:t>
            </w:r>
          </w:p>
        </w:tc>
        <w:tc>
          <w:tcPr>
            <w:tcW w:w="1940" w:type="dxa"/>
          </w:tcPr>
          <w:p w14:paraId="3AEA42D8" w14:textId="402CC449"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 xml:space="preserve">MT CO2 / </w:t>
            </w:r>
            <w:r w:rsidR="008143AA" w:rsidRPr="00241AAC">
              <w:rPr>
                <w:rFonts w:ascii="Times New Roman" w:hAnsi="Times New Roman" w:cs="Times New Roman"/>
                <w:sz w:val="20"/>
                <w:szCs w:val="20"/>
              </w:rPr>
              <w:t>gallon</w:t>
            </w:r>
          </w:p>
        </w:tc>
        <w:tc>
          <w:tcPr>
            <w:tcW w:w="1940" w:type="dxa"/>
          </w:tcPr>
          <w:p w14:paraId="48133887" w14:textId="77777777"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TCR</w:t>
            </w:r>
          </w:p>
        </w:tc>
      </w:tr>
      <w:tr w:rsidR="009C4538" w:rsidRPr="00241AAC" w14:paraId="3BA1B88B" w14:textId="77777777" w:rsidTr="00241AAC">
        <w:trPr>
          <w:cnfStyle w:val="000000100000" w:firstRow="0" w:lastRow="0" w:firstColumn="0" w:lastColumn="0" w:oddVBand="0" w:evenVBand="0" w:oddHBand="1" w:evenHBand="0" w:firstRowFirstColumn="0" w:firstRowLastColumn="0" w:lastRowFirstColumn="0" w:lastRowLastColumn="0"/>
        </w:trPr>
        <w:tc>
          <w:tcPr>
            <w:tcW w:w="1818" w:type="dxa"/>
          </w:tcPr>
          <w:p w14:paraId="6DD0B4D3" w14:textId="77777777"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Electricity</w:t>
            </w:r>
          </w:p>
        </w:tc>
        <w:tc>
          <w:tcPr>
            <w:tcW w:w="1939" w:type="dxa"/>
          </w:tcPr>
          <w:p w14:paraId="7AB5EFF8" w14:textId="77777777"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0.000353802</w:t>
            </w:r>
          </w:p>
        </w:tc>
        <w:tc>
          <w:tcPr>
            <w:tcW w:w="1940" w:type="dxa"/>
          </w:tcPr>
          <w:p w14:paraId="30C3FDE6" w14:textId="77777777"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MT CO2 / kWh</w:t>
            </w:r>
          </w:p>
        </w:tc>
        <w:tc>
          <w:tcPr>
            <w:tcW w:w="1940" w:type="dxa"/>
          </w:tcPr>
          <w:p w14:paraId="69F01D52" w14:textId="77777777" w:rsidR="009C4538" w:rsidRPr="00241AAC" w:rsidRDefault="009C4538" w:rsidP="00C30DC0">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ISO New England</w:t>
            </w:r>
          </w:p>
        </w:tc>
      </w:tr>
    </w:tbl>
    <w:p w14:paraId="26E96CA1" w14:textId="77777777" w:rsidR="0095484C" w:rsidRPr="0095484C" w:rsidRDefault="0095484C" w:rsidP="0034228D">
      <w:pPr>
        <w:pStyle w:val="ParaText"/>
      </w:pPr>
    </w:p>
    <w:p w14:paraId="3C0B6850" w14:textId="77777777" w:rsidR="00620427" w:rsidRDefault="00620427" w:rsidP="00620427">
      <w:pPr>
        <w:pStyle w:val="Heading3"/>
        <w:tabs>
          <w:tab w:val="clear" w:pos="907"/>
          <w:tab w:val="num" w:pos="1080"/>
        </w:tabs>
        <w:spacing w:before="0" w:after="240"/>
        <w:ind w:left="1080" w:hanging="1080"/>
      </w:pPr>
      <w:r>
        <w:t>Transportation – On-Road Bus</w:t>
      </w:r>
      <w:bookmarkEnd w:id="40"/>
    </w:p>
    <w:p w14:paraId="5E42E917" w14:textId="51DD7AEF" w:rsidR="0007343E" w:rsidRDefault="00250C26" w:rsidP="0007343E">
      <w:pPr>
        <w:pStyle w:val="BodyText"/>
        <w:rPr>
          <w:rFonts w:ascii="Times New Roman" w:hAnsi="Times New Roman" w:cs="Times New Roman"/>
          <w:b/>
          <w:bCs/>
          <w:sz w:val="22"/>
          <w:szCs w:val="22"/>
        </w:rPr>
      </w:pPr>
      <w:r w:rsidRPr="00250C26">
        <w:rPr>
          <w:rFonts w:ascii="Times New Roman" w:hAnsi="Times New Roman" w:cs="Times New Roman"/>
          <w:b/>
          <w:bCs/>
          <w:sz w:val="22"/>
          <w:szCs w:val="22"/>
        </w:rPr>
        <w:t>Data Summary</w:t>
      </w:r>
    </w:p>
    <w:p w14:paraId="3009D735" w14:textId="3EAB2CF2" w:rsidR="00250C26" w:rsidRDefault="00226E4C" w:rsidP="005116A7">
      <w:pPr>
        <w:pStyle w:val="ParaText"/>
      </w:pPr>
      <w:r>
        <w:t>As of the writing of this report, t</w:t>
      </w:r>
      <w:r w:rsidR="00250C26" w:rsidRPr="00250C26">
        <w:t xml:space="preserve">he MBTA </w:t>
      </w:r>
      <w:r>
        <w:t>is not able to</w:t>
      </w:r>
      <w:r w:rsidR="00250C26" w:rsidRPr="00250C26">
        <w:t xml:space="preserve"> distinguish between electricity used for trains</w:t>
      </w:r>
      <w:r w:rsidR="00250C26">
        <w:t xml:space="preserve"> and trackless trolleys and that used for buildings. </w:t>
      </w:r>
      <w:r>
        <w:t xml:space="preserve">Based on conversations with MBTA representatives, an estimated </w:t>
      </w:r>
      <w:r w:rsidR="00250C26" w:rsidRPr="00250C26">
        <w:t xml:space="preserve">60% of their </w:t>
      </w:r>
      <w:r w:rsidR="00250C26">
        <w:t xml:space="preserve">total system-wide </w:t>
      </w:r>
      <w:r w:rsidR="00250C26" w:rsidRPr="00250C26">
        <w:t xml:space="preserve">electricity consumption is used to power </w:t>
      </w:r>
      <w:r w:rsidR="00250C26">
        <w:t>these vehicles</w:t>
      </w:r>
      <w:r w:rsidR="00250C26" w:rsidRPr="00250C26">
        <w:t xml:space="preserve">, and the remaining 40% powers buildings. When the City of Boston conducted their GHG inventory, they </w:t>
      </w:r>
      <w:r>
        <w:t xml:space="preserve">also </w:t>
      </w:r>
      <w:r w:rsidR="00250C26" w:rsidRPr="00250C26">
        <w:t xml:space="preserve">applied the 60% estimate to the total </w:t>
      </w:r>
      <w:r w:rsidR="00250C26">
        <w:t xml:space="preserve">MBTA </w:t>
      </w:r>
      <w:r w:rsidR="00250C26" w:rsidRPr="00250C26">
        <w:t xml:space="preserve">system-wide electricity usage to arrive at an estimate of electricity used for </w:t>
      </w:r>
      <w:r w:rsidR="005116A7">
        <w:t>trains and trackless trolleys</w:t>
      </w:r>
      <w:r w:rsidR="00250C26" w:rsidRPr="00250C26">
        <w:t xml:space="preserve">. </w:t>
      </w:r>
      <w:r w:rsidR="00250C26">
        <w:t>Boston</w:t>
      </w:r>
      <w:r w:rsidR="00250C26" w:rsidRPr="00250C26">
        <w:t xml:space="preserve"> then estimated that 61% of the MBTA’s rapid transit system is contained within the City of Boston, presumably by track mileage. They applied this percentage</w:t>
      </w:r>
      <w:r w:rsidR="005116A7">
        <w:t xml:space="preserve"> of the transit system contained within the City of Boston</w:t>
      </w:r>
      <w:r w:rsidR="00250C26" w:rsidRPr="00250C26">
        <w:t xml:space="preserve"> to </w:t>
      </w:r>
      <w:r w:rsidR="005116A7">
        <w:t>proportion of MBTA system-wide electricity consumption allocated to</w:t>
      </w:r>
      <w:r w:rsidR="00250C26" w:rsidRPr="00250C26">
        <w:t xml:space="preserve"> transit to arrive at Boston’s </w:t>
      </w:r>
      <w:r w:rsidR="005116A7">
        <w:t>share of electricity consumption associated with MBTA trains and trackless trolleys.</w:t>
      </w:r>
      <w:r>
        <w:t xml:space="preserve"> A similar approach was used for Cambridge.</w:t>
      </w:r>
    </w:p>
    <w:p w14:paraId="008FC80D" w14:textId="77777777" w:rsidR="005116A7" w:rsidRPr="005116A7" w:rsidRDefault="005116A7" w:rsidP="005116A7">
      <w:pPr>
        <w:pStyle w:val="ParaText"/>
        <w:rPr>
          <w:b/>
          <w:bCs/>
          <w:i/>
        </w:rPr>
      </w:pPr>
      <w:r w:rsidRPr="005116A7">
        <w:rPr>
          <w:b/>
          <w:bCs/>
          <w:i/>
        </w:rPr>
        <w:t>Heavy Rail, Light Rail, Trackless Trolley</w:t>
      </w:r>
    </w:p>
    <w:p w14:paraId="26FA5073" w14:textId="78DC74F9" w:rsidR="005116A7" w:rsidRPr="005116A7" w:rsidRDefault="005116A7" w:rsidP="005116A7">
      <w:pPr>
        <w:pStyle w:val="ParaText"/>
      </w:pPr>
      <w:r w:rsidRPr="005116A7">
        <w:t xml:space="preserve">The City of Cambridge is served by three modes of public transit </w:t>
      </w:r>
      <w:r>
        <w:t xml:space="preserve">that are powered by electricity - </w:t>
      </w:r>
      <w:r w:rsidRPr="005116A7">
        <w:t xml:space="preserve">heavy rail (the red line), light rail (the green E line), and trackless trolleys (bus routes 71, 72, 73, and 77A). The </w:t>
      </w:r>
      <w:r w:rsidRPr="005116A7">
        <w:lastRenderedPageBreak/>
        <w:t xml:space="preserve">MBTA has </w:t>
      </w:r>
      <w:r w:rsidR="00226E4C">
        <w:t>one primary</w:t>
      </w:r>
      <w:r w:rsidRPr="005116A7">
        <w:t xml:space="preserve"> account for its electricity usage</w:t>
      </w:r>
      <w:r w:rsidR="00226E4C">
        <w:t xml:space="preserve">. As mentioned, </w:t>
      </w:r>
      <w:r w:rsidRPr="005116A7">
        <w:t>they estimate that 60% of their electricity use is for operating their transit system and 40% is for powering buildings.</w:t>
      </w:r>
      <w:r w:rsidRPr="005116A7">
        <w:rPr>
          <w:vertAlign w:val="superscript"/>
        </w:rPr>
        <w:footnoteReference w:id="12"/>
      </w:r>
      <w:r w:rsidRPr="005116A7">
        <w:t xml:space="preserve"> </w:t>
      </w:r>
      <w:r w:rsidR="00226E4C">
        <w:t xml:space="preserve">For the Cambridge </w:t>
      </w:r>
      <w:r w:rsidR="005F76C3">
        <w:t>C</w:t>
      </w:r>
      <w:r w:rsidR="00226E4C">
        <w:t xml:space="preserve">ommunity-wide </w:t>
      </w:r>
      <w:r w:rsidR="005F76C3">
        <w:t>I</w:t>
      </w:r>
      <w:r w:rsidR="00226E4C">
        <w:t xml:space="preserve">nventory, </w:t>
      </w:r>
      <w:r w:rsidRPr="005116A7">
        <w:t xml:space="preserve">the system-wide electricity use </w:t>
      </w:r>
      <w:r w:rsidR="00226E4C">
        <w:t xml:space="preserve">was multiplied </w:t>
      </w:r>
      <w:r w:rsidRPr="005116A7">
        <w:t>by 60% to arrive at a</w:t>
      </w:r>
      <w:r w:rsidR="00226E4C">
        <w:t xml:space="preserve">n </w:t>
      </w:r>
      <w:r w:rsidRPr="005116A7">
        <w:t xml:space="preserve">estimate of electricity used for the three electricity-dependent transit modes. </w:t>
      </w:r>
    </w:p>
    <w:p w14:paraId="6BED0851" w14:textId="27308755" w:rsidR="005116A7" w:rsidRPr="005116A7" w:rsidRDefault="005116A7" w:rsidP="005116A7">
      <w:pPr>
        <w:pStyle w:val="ParaText"/>
      </w:pPr>
      <w:r w:rsidRPr="005116A7">
        <w:t xml:space="preserve">Primarily because of the trackless trolley system, MAPC did not estimate the proportion of electricity used in Cambridge based purely on route or track mileage. Instead, the transit electricity usage </w:t>
      </w:r>
      <w:r w:rsidR="009C4538">
        <w:t xml:space="preserve">was broken </w:t>
      </w:r>
      <w:r w:rsidRPr="005116A7">
        <w:t xml:space="preserve">down by </w:t>
      </w:r>
      <w:r>
        <w:t xml:space="preserve">transit </w:t>
      </w:r>
      <w:r w:rsidRPr="005116A7">
        <w:t>mode based on annual vehicle miles travelled for each mode. In calendar year 2012, of the total VMT for modes that use electricity, 78.4% was from heavy rail (red, blue, orange lines), 19.4% was from light rail (green lines), and 2.2% was for trackless trolley lines. MAPC applied these percentages to the system-wide estimate of electricity used for the transit system to arrive at system-wide estimates for each mode.</w:t>
      </w:r>
      <w:r w:rsidRPr="005116A7">
        <w:rPr>
          <w:vertAlign w:val="superscript"/>
        </w:rPr>
        <w:footnoteReference w:id="13"/>
      </w:r>
      <w:r w:rsidRPr="005116A7">
        <w:t xml:space="preserve"> </w:t>
      </w:r>
    </w:p>
    <w:p w14:paraId="7F650E22" w14:textId="2544C559" w:rsidR="005116A7" w:rsidRPr="005116A7" w:rsidRDefault="005116A7" w:rsidP="005116A7">
      <w:pPr>
        <w:pStyle w:val="ParaText"/>
      </w:pPr>
      <w:r w:rsidRPr="005116A7">
        <w:t xml:space="preserve">MAPC then estimated the percentage of electricity use for each mode that should be allotted to Cambridge. For heavy rail, this estimate </w:t>
      </w:r>
      <w:r w:rsidR="00927F66">
        <w:t>was based</w:t>
      </w:r>
      <w:r w:rsidR="00927F66" w:rsidRPr="005116A7">
        <w:t xml:space="preserve"> </w:t>
      </w:r>
      <w:r w:rsidRPr="005116A7">
        <w:t>only on the percentage of the system’s heavy rail track that lies within th</w:t>
      </w:r>
      <w:r w:rsidR="008724F4">
        <w:t>e boundaries of Cambridge</w:t>
      </w:r>
      <w:r w:rsidR="00927F66">
        <w:t xml:space="preserve"> (10.7% or 4.2 of 39.1 system miles)</w:t>
      </w:r>
      <w:r w:rsidR="008724F4">
        <w:t>. For light r</w:t>
      </w:r>
      <w:r w:rsidRPr="005116A7">
        <w:t>ail</w:t>
      </w:r>
      <w:r w:rsidR="008724F4">
        <w:t xml:space="preserve"> and trackless t</w:t>
      </w:r>
      <w:r w:rsidRPr="005116A7">
        <w:t xml:space="preserve">rolley, the Cambridge percentage was based on an estimate of annual vehicle miles traveled. </w:t>
      </w:r>
      <w:r w:rsidR="00AD4785">
        <w:t xml:space="preserve">Route miles </w:t>
      </w:r>
      <w:r w:rsidR="00927F66">
        <w:t xml:space="preserve">and VMT </w:t>
      </w:r>
      <w:r w:rsidR="00AD4785">
        <w:t xml:space="preserve">estimates used </w:t>
      </w:r>
      <w:r w:rsidR="00927F66">
        <w:t>in</w:t>
      </w:r>
      <w:r w:rsidR="00AD4785">
        <w:t xml:space="preserve"> </w:t>
      </w:r>
      <w:r w:rsidR="00927F66">
        <w:t xml:space="preserve">these calculations </w:t>
      </w:r>
      <w:r w:rsidR="00AD4785">
        <w:t xml:space="preserve">are provided in </w:t>
      </w:r>
      <w:r w:rsidR="00AD4785" w:rsidRPr="00AD4785">
        <w:rPr>
          <w:sz w:val="24"/>
        </w:rPr>
        <w:fldChar w:fldCharType="begin"/>
      </w:r>
      <w:r w:rsidR="00AD4785" w:rsidRPr="00AD4785">
        <w:rPr>
          <w:sz w:val="24"/>
        </w:rPr>
        <w:instrText xml:space="preserve"> REF _Ref478393636 \h </w:instrText>
      </w:r>
      <w:r w:rsidR="00AD4785">
        <w:rPr>
          <w:sz w:val="24"/>
        </w:rPr>
        <w:instrText xml:space="preserve"> \* MERGEFORMAT </w:instrText>
      </w:r>
      <w:r w:rsidR="00AD4785" w:rsidRPr="00AD4785">
        <w:rPr>
          <w:sz w:val="24"/>
        </w:rPr>
      </w:r>
      <w:r w:rsidR="00AD4785" w:rsidRPr="00AD4785">
        <w:rPr>
          <w:sz w:val="24"/>
        </w:rPr>
        <w:fldChar w:fldCharType="separate"/>
      </w:r>
      <w:r w:rsidR="00CD3629" w:rsidRPr="00CD3629">
        <w:t xml:space="preserve">Table </w:t>
      </w:r>
      <w:r w:rsidR="00CD3629" w:rsidRPr="00CD3629">
        <w:rPr>
          <w:noProof/>
        </w:rPr>
        <w:t>13</w:t>
      </w:r>
      <w:r w:rsidR="00AD4785" w:rsidRPr="00AD4785">
        <w:rPr>
          <w:sz w:val="24"/>
        </w:rPr>
        <w:fldChar w:fldCharType="end"/>
      </w:r>
      <w:r w:rsidR="00AD4785">
        <w:t>.</w:t>
      </w:r>
    </w:p>
    <w:p w14:paraId="62DC3CF0" w14:textId="5445B7EF" w:rsidR="005116A7" w:rsidRPr="005116A7" w:rsidRDefault="005116A7" w:rsidP="008724F4">
      <w:pPr>
        <w:pStyle w:val="ParaText"/>
      </w:pPr>
      <w:r w:rsidRPr="005116A7">
        <w:t>Light Rail VMT was estimated based on the schedules published in the 2014 edition of the MBTA’s Blue Book.</w:t>
      </w:r>
      <w:r w:rsidR="008724F4">
        <w:t xml:space="preserve"> MAPC</w:t>
      </w:r>
      <w:r w:rsidRPr="005116A7">
        <w:t xml:space="preserve"> estimated a weekday, Saturday, and Sunday frequency by line, then calculated an estimate of the annual number of trips by line using the following formula:</w:t>
      </w:r>
    </w:p>
    <w:p w14:paraId="361AB681" w14:textId="77777777" w:rsidR="005116A7" w:rsidRPr="005116A7" w:rsidRDefault="005116A7" w:rsidP="009C4538">
      <w:pPr>
        <w:pStyle w:val="ParaText"/>
        <w:jc w:val="center"/>
      </w:pPr>
      <w:r w:rsidRPr="005116A7">
        <w:t>Annual count = (weekday * 254) + (Saturday * 54) + (Sunday * 58)</w:t>
      </w:r>
      <w:r w:rsidRPr="005116A7">
        <w:rPr>
          <w:vertAlign w:val="superscript"/>
        </w:rPr>
        <w:footnoteReference w:id="14"/>
      </w:r>
    </w:p>
    <w:p w14:paraId="39D83B3F" w14:textId="0BC494E9" w:rsidR="005116A7" w:rsidRPr="005116A7" w:rsidRDefault="005116A7" w:rsidP="005116A7">
      <w:pPr>
        <w:pStyle w:val="ParaText"/>
      </w:pPr>
      <w:r w:rsidRPr="005116A7">
        <w:t xml:space="preserve">This frequency was </w:t>
      </w:r>
      <w:r w:rsidR="009C4538">
        <w:t xml:space="preserve">then </w:t>
      </w:r>
      <w:r w:rsidRPr="005116A7">
        <w:t>multiplied by total route length of the corresponding line to arrive at annual VMT by line. The length of the E line contained within the city of Cambridge was multiplied by number of annual E line trips to arrive at an E line VMT estimate for the City. The percentage of VMT within the City of Cambridge was multiplied by the light rail electricity estimate for 2012 to arrive at an estimate for Cambridge’s contribution.</w:t>
      </w:r>
    </w:p>
    <w:p w14:paraId="3765A532" w14:textId="753AF861" w:rsidR="005116A7" w:rsidRPr="005116A7" w:rsidRDefault="005116A7" w:rsidP="008724F4">
      <w:pPr>
        <w:pStyle w:val="ParaText"/>
      </w:pPr>
      <w:r w:rsidRPr="005116A7">
        <w:lastRenderedPageBreak/>
        <w:t xml:space="preserve">Trackless Trolley VMT was estimated based on </w:t>
      </w:r>
      <w:r w:rsidR="00AD4785">
        <w:t>General Transit Feed Specification (</w:t>
      </w:r>
      <w:r w:rsidRPr="005116A7">
        <w:t>GTFS</w:t>
      </w:r>
      <w:r w:rsidR="00AD4785">
        <w:t>)</w:t>
      </w:r>
      <w:r w:rsidRPr="005116A7">
        <w:t xml:space="preserve"> schedule data from March 2012.</w:t>
      </w:r>
      <w:r w:rsidRPr="005116A7">
        <w:rPr>
          <w:vertAlign w:val="superscript"/>
        </w:rPr>
        <w:footnoteReference w:id="15"/>
      </w:r>
      <w:r w:rsidRPr="005116A7">
        <w:t xml:space="preserve"> </w:t>
      </w:r>
      <w:r w:rsidR="008724F4">
        <w:t>MAPC</w:t>
      </w:r>
      <w:r w:rsidRPr="005116A7">
        <w:t xml:space="preserve"> created a relational database to connect the calendar table to the trip table by the service </w:t>
      </w:r>
      <w:r w:rsidR="008724F4">
        <w:t>ID</w:t>
      </w:r>
      <w:r w:rsidRPr="005116A7">
        <w:t xml:space="preserve">, which is a unique identifier for days that have the same schedule. </w:t>
      </w:r>
      <w:r w:rsidR="009C4538">
        <w:t>T</w:t>
      </w:r>
      <w:r w:rsidRPr="005116A7">
        <w:t xml:space="preserve">rip counts </w:t>
      </w:r>
      <w:r w:rsidR="009C4538">
        <w:t xml:space="preserve">were then determined </w:t>
      </w:r>
      <w:r w:rsidRPr="005116A7">
        <w:t>by line and service, then selected the maximum number of trips for each line for a Wednes</w:t>
      </w:r>
      <w:r w:rsidR="008724F4">
        <w:t>days, Saturdays, and Sundays.  MAPC</w:t>
      </w:r>
      <w:r w:rsidRPr="005116A7">
        <w:t xml:space="preserve"> came up with an annual estimate for number of trips by line using the formula above. This frequency was multiplied by the total mileage of each route and the route length contained within the City of Cambridge to arrive at a percentage of trackless trolley VMT within the City. This percentage was then multiplied by the system-wide estimate of trackless trolley electricity use to arrive at an estimate for Cambridge’s use.</w:t>
      </w:r>
    </w:p>
    <w:p w14:paraId="517F49AD" w14:textId="77777777" w:rsidR="005116A7" w:rsidRPr="005116A7" w:rsidRDefault="005116A7" w:rsidP="005116A7">
      <w:pPr>
        <w:pStyle w:val="ParaText"/>
        <w:rPr>
          <w:b/>
          <w:bCs/>
          <w:i/>
        </w:rPr>
      </w:pPr>
      <w:r w:rsidRPr="005116A7">
        <w:rPr>
          <w:b/>
          <w:bCs/>
          <w:i/>
        </w:rPr>
        <w:t>Commuter Rail</w:t>
      </w:r>
    </w:p>
    <w:p w14:paraId="1B3A5BE0" w14:textId="3880A96F" w:rsidR="005116A7" w:rsidRPr="005116A7" w:rsidRDefault="005116A7" w:rsidP="005116A7">
      <w:pPr>
        <w:pStyle w:val="ParaText"/>
      </w:pPr>
      <w:r w:rsidRPr="005116A7">
        <w:t xml:space="preserve">To estimate the amount of diesel fuel consumed by the Commuter rail within the City of Cambridge, </w:t>
      </w:r>
      <w:r w:rsidR="009C4538">
        <w:t>the</w:t>
      </w:r>
      <w:r w:rsidRPr="005116A7">
        <w:t xml:space="preserve"> total </w:t>
      </w:r>
      <w:r w:rsidR="00B043C3">
        <w:t xml:space="preserve">system-wide </w:t>
      </w:r>
      <w:r w:rsidRPr="005116A7">
        <w:t>diesel fuel consumption in calendar year 2012</w:t>
      </w:r>
      <w:r w:rsidR="00B043C3">
        <w:t xml:space="preserve"> was multiplied</w:t>
      </w:r>
      <w:r w:rsidRPr="005116A7">
        <w:t xml:space="preserve"> by the percentage of the commuter rail track system contained within </w:t>
      </w:r>
      <w:r w:rsidR="00B043C3">
        <w:t>Cambridge</w:t>
      </w:r>
      <w:r w:rsidRPr="005116A7">
        <w:t xml:space="preserve">. We counted both revenue and non-revenue commuter rail diesel consumption. </w:t>
      </w:r>
    </w:p>
    <w:p w14:paraId="28E354AD" w14:textId="77777777" w:rsidR="005116A7" w:rsidRPr="005116A7" w:rsidRDefault="005116A7" w:rsidP="005116A7">
      <w:pPr>
        <w:pStyle w:val="ParaText"/>
        <w:rPr>
          <w:b/>
          <w:bCs/>
          <w:i/>
        </w:rPr>
      </w:pPr>
      <w:r w:rsidRPr="005116A7">
        <w:rPr>
          <w:b/>
          <w:bCs/>
          <w:i/>
        </w:rPr>
        <w:t>Bus</w:t>
      </w:r>
    </w:p>
    <w:p w14:paraId="34344272" w14:textId="0AEFD94B" w:rsidR="005116A7" w:rsidRDefault="005116A7" w:rsidP="005116A7">
      <w:pPr>
        <w:pStyle w:val="ParaText"/>
      </w:pPr>
      <w:r w:rsidRPr="005116A7">
        <w:t>We estimated diesel and CNG consumption by busses within Cambridge by applying the percentage of revenue bus VMT within the City to the system-wide diesel and CNG consumption by busses from calendar year 2012.</w:t>
      </w:r>
      <w:r w:rsidRPr="005116A7">
        <w:rPr>
          <w:vertAlign w:val="superscript"/>
        </w:rPr>
        <w:footnoteReference w:id="16"/>
      </w:r>
      <w:r w:rsidRPr="005116A7">
        <w:t xml:space="preserve"> We estimated bus VMT using GTFS data following the same method as for trackless trolley VMT.</w:t>
      </w:r>
    </w:p>
    <w:p w14:paraId="2E6FBB02" w14:textId="1D9DA9EF" w:rsidR="00AD4785" w:rsidRPr="00AD4785" w:rsidRDefault="00AD4785" w:rsidP="00AD4785">
      <w:pPr>
        <w:pStyle w:val="Caption"/>
        <w:rPr>
          <w:sz w:val="20"/>
        </w:rPr>
      </w:pPr>
      <w:bookmarkStart w:id="47" w:name="_Ref478393636"/>
      <w:r w:rsidRPr="00AD4785">
        <w:rPr>
          <w:sz w:val="20"/>
        </w:rPr>
        <w:t xml:space="preserve">Table </w:t>
      </w:r>
      <w:r w:rsidRPr="00AD4785">
        <w:rPr>
          <w:sz w:val="20"/>
        </w:rPr>
        <w:fldChar w:fldCharType="begin"/>
      </w:r>
      <w:r w:rsidRPr="00AD4785">
        <w:rPr>
          <w:sz w:val="20"/>
        </w:rPr>
        <w:instrText xml:space="preserve"> SEQ Table \* ARABIC </w:instrText>
      </w:r>
      <w:r w:rsidRPr="00AD4785">
        <w:rPr>
          <w:sz w:val="20"/>
        </w:rPr>
        <w:fldChar w:fldCharType="separate"/>
      </w:r>
      <w:r w:rsidRPr="00AD4785">
        <w:rPr>
          <w:noProof/>
          <w:sz w:val="20"/>
        </w:rPr>
        <w:t>13</w:t>
      </w:r>
      <w:r w:rsidRPr="00AD4785">
        <w:rPr>
          <w:sz w:val="20"/>
        </w:rPr>
        <w:fldChar w:fldCharType="end"/>
      </w:r>
      <w:bookmarkEnd w:id="47"/>
      <w:r w:rsidRPr="00AD4785">
        <w:rPr>
          <w:sz w:val="20"/>
        </w:rPr>
        <w:t>: MBTA Routes Miles Estimates</w:t>
      </w:r>
    </w:p>
    <w:tbl>
      <w:tblPr>
        <w:tblStyle w:val="AlternatingRows3"/>
        <w:tblW w:w="9180" w:type="dxa"/>
        <w:tblLook w:val="04A0" w:firstRow="1" w:lastRow="0" w:firstColumn="1" w:lastColumn="0" w:noHBand="0" w:noVBand="1"/>
      </w:tblPr>
      <w:tblGrid>
        <w:gridCol w:w="3340"/>
        <w:gridCol w:w="2640"/>
        <w:gridCol w:w="1540"/>
        <w:gridCol w:w="1660"/>
      </w:tblGrid>
      <w:tr w:rsidR="00AD4785" w:rsidRPr="00AD4785" w14:paraId="308E0364" w14:textId="77777777" w:rsidTr="00AD4785">
        <w:trPr>
          <w:cnfStyle w:val="100000000000" w:firstRow="1" w:lastRow="0" w:firstColumn="0" w:lastColumn="0" w:oddVBand="0" w:evenVBand="0" w:oddHBand="0" w:evenHBand="0" w:firstRowFirstColumn="0" w:firstRowLastColumn="0" w:lastRowFirstColumn="0" w:lastRowLastColumn="0"/>
          <w:trHeight w:val="300"/>
        </w:trPr>
        <w:tc>
          <w:tcPr>
            <w:tcW w:w="3340" w:type="dxa"/>
            <w:noWrap/>
            <w:hideMark/>
          </w:tcPr>
          <w:p w14:paraId="4FDA4A4B" w14:textId="77777777" w:rsidR="00AD4785" w:rsidRPr="00AD4785" w:rsidRDefault="00AD4785" w:rsidP="00AD4785">
            <w:pPr>
              <w:rPr>
                <w:rFonts w:ascii="Times New Roman" w:hAnsi="Times New Roman" w:cs="Times New Roman"/>
                <w:bCs/>
                <w:sz w:val="20"/>
                <w:szCs w:val="20"/>
                <w:lang w:val="en-US"/>
              </w:rPr>
            </w:pPr>
            <w:r w:rsidRPr="00AD4785">
              <w:rPr>
                <w:rFonts w:ascii="Times New Roman" w:hAnsi="Times New Roman" w:cs="Times New Roman"/>
                <w:bCs/>
                <w:sz w:val="20"/>
                <w:szCs w:val="20"/>
                <w:lang w:val="en-US"/>
              </w:rPr>
              <w:t>Transit Type</w:t>
            </w:r>
          </w:p>
        </w:tc>
        <w:tc>
          <w:tcPr>
            <w:tcW w:w="2640" w:type="dxa"/>
            <w:noWrap/>
            <w:hideMark/>
          </w:tcPr>
          <w:p w14:paraId="046102D4" w14:textId="77777777" w:rsidR="00AD4785" w:rsidRPr="00AD4785" w:rsidRDefault="00AD4785" w:rsidP="00AD4785">
            <w:pPr>
              <w:rPr>
                <w:rFonts w:ascii="Times New Roman" w:hAnsi="Times New Roman" w:cs="Times New Roman"/>
                <w:bCs/>
                <w:sz w:val="20"/>
                <w:szCs w:val="20"/>
                <w:lang w:val="en-US"/>
              </w:rPr>
            </w:pPr>
            <w:r w:rsidRPr="00AD4785">
              <w:rPr>
                <w:rFonts w:ascii="Times New Roman" w:hAnsi="Times New Roman" w:cs="Times New Roman"/>
                <w:bCs/>
                <w:sz w:val="20"/>
                <w:szCs w:val="20"/>
                <w:lang w:val="en-US"/>
              </w:rPr>
              <w:t>Cambridge Route Miles</w:t>
            </w:r>
          </w:p>
        </w:tc>
        <w:tc>
          <w:tcPr>
            <w:tcW w:w="1540" w:type="dxa"/>
            <w:noWrap/>
            <w:hideMark/>
          </w:tcPr>
          <w:p w14:paraId="18B641DB" w14:textId="77777777" w:rsidR="00AD4785" w:rsidRPr="00AD4785" w:rsidRDefault="00AD4785" w:rsidP="00AD4785">
            <w:pPr>
              <w:rPr>
                <w:rFonts w:ascii="Times New Roman" w:hAnsi="Times New Roman" w:cs="Times New Roman"/>
                <w:bCs/>
                <w:sz w:val="20"/>
                <w:szCs w:val="20"/>
                <w:lang w:val="en-US"/>
              </w:rPr>
            </w:pPr>
            <w:r w:rsidRPr="00AD4785">
              <w:rPr>
                <w:rFonts w:ascii="Times New Roman" w:hAnsi="Times New Roman" w:cs="Times New Roman"/>
                <w:bCs/>
                <w:sz w:val="20"/>
                <w:szCs w:val="20"/>
                <w:lang w:val="en-US"/>
              </w:rPr>
              <w:t>System Miles</w:t>
            </w:r>
          </w:p>
        </w:tc>
        <w:tc>
          <w:tcPr>
            <w:tcW w:w="1660" w:type="dxa"/>
            <w:noWrap/>
            <w:hideMark/>
          </w:tcPr>
          <w:p w14:paraId="230922F0" w14:textId="77777777" w:rsidR="00AD4785" w:rsidRPr="00AD4785" w:rsidRDefault="00AD4785" w:rsidP="00AD4785">
            <w:pPr>
              <w:rPr>
                <w:rFonts w:ascii="Times New Roman" w:hAnsi="Times New Roman" w:cs="Times New Roman"/>
                <w:bCs/>
                <w:sz w:val="20"/>
                <w:szCs w:val="20"/>
                <w:lang w:val="en-US"/>
              </w:rPr>
            </w:pPr>
            <w:r w:rsidRPr="00AD4785">
              <w:rPr>
                <w:rFonts w:ascii="Times New Roman" w:hAnsi="Times New Roman" w:cs="Times New Roman"/>
                <w:bCs/>
                <w:sz w:val="20"/>
                <w:szCs w:val="20"/>
                <w:lang w:val="en-US"/>
              </w:rPr>
              <w:t xml:space="preserve">Cambridge </w:t>
            </w:r>
            <w:proofErr w:type="spellStart"/>
            <w:r w:rsidRPr="00AD4785">
              <w:rPr>
                <w:rFonts w:ascii="Times New Roman" w:hAnsi="Times New Roman" w:cs="Times New Roman"/>
                <w:bCs/>
                <w:sz w:val="20"/>
                <w:szCs w:val="20"/>
                <w:lang w:val="en-US"/>
              </w:rPr>
              <w:t>pct</w:t>
            </w:r>
            <w:proofErr w:type="spellEnd"/>
          </w:p>
        </w:tc>
      </w:tr>
      <w:tr w:rsidR="00AD4785" w:rsidRPr="00AD4785" w14:paraId="2304ACFB" w14:textId="77777777" w:rsidTr="00AD4785">
        <w:trPr>
          <w:cnfStyle w:val="000000100000" w:firstRow="0" w:lastRow="0" w:firstColumn="0" w:lastColumn="0" w:oddVBand="0" w:evenVBand="0" w:oddHBand="1" w:evenHBand="0" w:firstRowFirstColumn="0" w:firstRowLastColumn="0" w:lastRowFirstColumn="0" w:lastRowLastColumn="0"/>
          <w:trHeight w:val="285"/>
        </w:trPr>
        <w:tc>
          <w:tcPr>
            <w:tcW w:w="3340" w:type="dxa"/>
            <w:noWrap/>
            <w:hideMark/>
          </w:tcPr>
          <w:p w14:paraId="5324E1A1" w14:textId="6D408E4B" w:rsidR="00AD4785" w:rsidRPr="00AD4785" w:rsidRDefault="00AD4785" w:rsidP="00AD4785">
            <w:pPr>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Red line (heavy rail)</w:t>
            </w:r>
          </w:p>
        </w:tc>
        <w:tc>
          <w:tcPr>
            <w:tcW w:w="2640" w:type="dxa"/>
            <w:noWrap/>
            <w:hideMark/>
          </w:tcPr>
          <w:p w14:paraId="48F0B035" w14:textId="77777777" w:rsidR="00AD4785" w:rsidRPr="00AD4785" w:rsidRDefault="00AD4785" w:rsidP="00AD4785">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4.2</w:t>
            </w:r>
          </w:p>
        </w:tc>
        <w:tc>
          <w:tcPr>
            <w:tcW w:w="1540" w:type="dxa"/>
            <w:noWrap/>
            <w:hideMark/>
          </w:tcPr>
          <w:p w14:paraId="54A4CF79" w14:textId="77777777" w:rsidR="00AD4785" w:rsidRPr="00AD4785" w:rsidRDefault="00AD4785" w:rsidP="00AD4785">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39.1</w:t>
            </w:r>
          </w:p>
        </w:tc>
        <w:tc>
          <w:tcPr>
            <w:tcW w:w="1660" w:type="dxa"/>
            <w:noWrap/>
            <w:hideMark/>
          </w:tcPr>
          <w:p w14:paraId="51B83637" w14:textId="77777777" w:rsidR="00AD4785" w:rsidRPr="00AD4785" w:rsidRDefault="00AD4785" w:rsidP="00AD4785">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10.7%</w:t>
            </w:r>
          </w:p>
        </w:tc>
      </w:tr>
      <w:tr w:rsidR="00AD4785" w:rsidRPr="00AD4785" w14:paraId="45D7A975" w14:textId="77777777" w:rsidTr="00AD4785">
        <w:trPr>
          <w:cnfStyle w:val="000000010000" w:firstRow="0" w:lastRow="0" w:firstColumn="0" w:lastColumn="0" w:oddVBand="0" w:evenVBand="0" w:oddHBand="0" w:evenHBand="1" w:firstRowFirstColumn="0" w:firstRowLastColumn="0" w:lastRowFirstColumn="0" w:lastRowLastColumn="0"/>
          <w:trHeight w:val="285"/>
        </w:trPr>
        <w:tc>
          <w:tcPr>
            <w:tcW w:w="3340" w:type="dxa"/>
            <w:noWrap/>
            <w:hideMark/>
          </w:tcPr>
          <w:p w14:paraId="056CDA3A" w14:textId="5661379A" w:rsidR="00AD4785" w:rsidRPr="00AD4785" w:rsidRDefault="00AD4785" w:rsidP="00AD4785">
            <w:pPr>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E line (light rail)</w:t>
            </w:r>
          </w:p>
        </w:tc>
        <w:tc>
          <w:tcPr>
            <w:tcW w:w="2640" w:type="dxa"/>
            <w:noWrap/>
            <w:hideMark/>
          </w:tcPr>
          <w:p w14:paraId="3BFC89A9" w14:textId="77777777" w:rsidR="00AD4785" w:rsidRPr="00AD4785" w:rsidRDefault="00AD4785" w:rsidP="00572853">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0.4</w:t>
            </w:r>
          </w:p>
        </w:tc>
        <w:tc>
          <w:tcPr>
            <w:tcW w:w="1540" w:type="dxa"/>
            <w:noWrap/>
            <w:hideMark/>
          </w:tcPr>
          <w:p w14:paraId="6239E0C6" w14:textId="77777777" w:rsidR="00AD4785" w:rsidRPr="00AD4785" w:rsidRDefault="00AD4785" w:rsidP="00572853">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22.8</w:t>
            </w:r>
          </w:p>
        </w:tc>
        <w:tc>
          <w:tcPr>
            <w:tcW w:w="1660" w:type="dxa"/>
            <w:noWrap/>
            <w:hideMark/>
          </w:tcPr>
          <w:p w14:paraId="6170F79A" w14:textId="77777777" w:rsidR="00AD4785" w:rsidRPr="00AD4785" w:rsidRDefault="00AD4785" w:rsidP="00572853">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1.8%</w:t>
            </w:r>
          </w:p>
        </w:tc>
      </w:tr>
      <w:tr w:rsidR="00927F66" w:rsidRPr="00AD4785" w14:paraId="2B4C090C" w14:textId="77777777" w:rsidTr="004C6A45">
        <w:trPr>
          <w:cnfStyle w:val="000000100000" w:firstRow="0" w:lastRow="0" w:firstColumn="0" w:lastColumn="0" w:oddVBand="0" w:evenVBand="0" w:oddHBand="1" w:evenHBand="0" w:firstRowFirstColumn="0" w:firstRowLastColumn="0" w:lastRowFirstColumn="0" w:lastRowLastColumn="0"/>
          <w:trHeight w:val="285"/>
        </w:trPr>
        <w:tc>
          <w:tcPr>
            <w:tcW w:w="0" w:type="dxa"/>
            <w:noWrap/>
          </w:tcPr>
          <w:p w14:paraId="1F2695E1" w14:textId="552DAC77" w:rsidR="00927F66" w:rsidRPr="00572853" w:rsidRDefault="00927F66" w:rsidP="00572853">
            <w:pPr>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Fitchburg line (commuter rail)</w:t>
            </w:r>
          </w:p>
        </w:tc>
        <w:tc>
          <w:tcPr>
            <w:tcW w:w="0" w:type="dxa"/>
            <w:noWrap/>
          </w:tcPr>
          <w:p w14:paraId="2650895E" w14:textId="543E31F6" w:rsidR="00927F66" w:rsidRPr="00572853" w:rsidRDefault="00927F66" w:rsidP="00572853">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3.4</w:t>
            </w:r>
          </w:p>
        </w:tc>
        <w:tc>
          <w:tcPr>
            <w:tcW w:w="0" w:type="dxa"/>
            <w:noWrap/>
          </w:tcPr>
          <w:p w14:paraId="7AB2B090" w14:textId="710F974F" w:rsidR="00927F66" w:rsidRPr="00572853" w:rsidRDefault="00927F66" w:rsidP="00572853">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438.5</w:t>
            </w:r>
          </w:p>
        </w:tc>
        <w:tc>
          <w:tcPr>
            <w:tcW w:w="0" w:type="dxa"/>
            <w:noWrap/>
          </w:tcPr>
          <w:p w14:paraId="342C8737" w14:textId="7E2CB5F2" w:rsidR="00927F66" w:rsidRPr="00572853" w:rsidRDefault="00927F66" w:rsidP="00572853">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0.8%</w:t>
            </w:r>
          </w:p>
        </w:tc>
      </w:tr>
      <w:tr w:rsidR="00927F66" w:rsidRPr="00AD4785" w14:paraId="27BA234E" w14:textId="77777777" w:rsidTr="00927F66">
        <w:trPr>
          <w:cnfStyle w:val="000000010000" w:firstRow="0" w:lastRow="0" w:firstColumn="0" w:lastColumn="0" w:oddVBand="0" w:evenVBand="0" w:oddHBand="0" w:evenHBand="1" w:firstRowFirstColumn="0" w:firstRowLastColumn="0" w:lastRowFirstColumn="0" w:lastRowLastColumn="0"/>
          <w:trHeight w:val="285"/>
        </w:trPr>
        <w:tc>
          <w:tcPr>
            <w:tcW w:w="3340" w:type="dxa"/>
            <w:shd w:val="clear" w:color="auto" w:fill="00B0F0"/>
            <w:noWrap/>
          </w:tcPr>
          <w:p w14:paraId="5200DBAE" w14:textId="42F00F1B" w:rsidR="00927F66" w:rsidRPr="00927F66" w:rsidRDefault="00927F66" w:rsidP="00927F66">
            <w:pPr>
              <w:jc w:val="center"/>
              <w:rPr>
                <w:rFonts w:ascii="Times New Roman" w:hAnsi="Times New Roman" w:cs="Times New Roman"/>
                <w:b/>
                <w:bCs/>
                <w:color w:val="FFFFFF" w:themeColor="background1"/>
                <w:sz w:val="20"/>
                <w:szCs w:val="20"/>
                <w:lang w:val="en-US"/>
              </w:rPr>
            </w:pPr>
            <w:r w:rsidRPr="00AD4785">
              <w:rPr>
                <w:rFonts w:ascii="Times New Roman" w:hAnsi="Times New Roman" w:cs="Times New Roman"/>
                <w:b/>
                <w:bCs/>
                <w:color w:val="FFFFFF" w:themeColor="background1"/>
                <w:sz w:val="20"/>
                <w:szCs w:val="20"/>
                <w:lang w:val="en-US"/>
              </w:rPr>
              <w:t>Transit Type</w:t>
            </w:r>
          </w:p>
        </w:tc>
        <w:tc>
          <w:tcPr>
            <w:tcW w:w="2640" w:type="dxa"/>
            <w:shd w:val="clear" w:color="auto" w:fill="00B0F0"/>
            <w:noWrap/>
          </w:tcPr>
          <w:p w14:paraId="05F87D54" w14:textId="14B8BE0F" w:rsidR="00927F66" w:rsidRPr="00927F66" w:rsidRDefault="00927F66" w:rsidP="00927F66">
            <w:pPr>
              <w:jc w:val="center"/>
              <w:rPr>
                <w:rFonts w:ascii="Times New Roman" w:hAnsi="Times New Roman" w:cs="Times New Roman"/>
                <w:b/>
                <w:bCs/>
                <w:color w:val="FFFFFF" w:themeColor="background1"/>
                <w:sz w:val="20"/>
                <w:szCs w:val="20"/>
                <w:lang w:val="en-US"/>
              </w:rPr>
            </w:pPr>
            <w:r w:rsidRPr="00AD4785">
              <w:rPr>
                <w:rFonts w:ascii="Times New Roman" w:hAnsi="Times New Roman" w:cs="Times New Roman"/>
                <w:b/>
                <w:bCs/>
                <w:color w:val="FFFFFF" w:themeColor="background1"/>
                <w:sz w:val="20"/>
                <w:szCs w:val="20"/>
                <w:lang w:val="en-US"/>
              </w:rPr>
              <w:t xml:space="preserve">Cambridge </w:t>
            </w:r>
            <w:r>
              <w:rPr>
                <w:rFonts w:ascii="Times New Roman" w:hAnsi="Times New Roman" w:cs="Times New Roman"/>
                <w:b/>
                <w:bCs/>
                <w:color w:val="FFFFFF" w:themeColor="background1"/>
                <w:sz w:val="20"/>
                <w:szCs w:val="20"/>
                <w:lang w:val="en-US"/>
              </w:rPr>
              <w:t>VMT</w:t>
            </w:r>
          </w:p>
        </w:tc>
        <w:tc>
          <w:tcPr>
            <w:tcW w:w="1540" w:type="dxa"/>
            <w:shd w:val="clear" w:color="auto" w:fill="00B0F0"/>
            <w:noWrap/>
          </w:tcPr>
          <w:p w14:paraId="28ECAE33" w14:textId="46172313" w:rsidR="00927F66" w:rsidRPr="00927F66" w:rsidRDefault="00927F66" w:rsidP="00927F66">
            <w:pPr>
              <w:jc w:val="center"/>
              <w:rPr>
                <w:rFonts w:ascii="Times New Roman" w:hAnsi="Times New Roman" w:cs="Times New Roman"/>
                <w:b/>
                <w:bCs/>
                <w:color w:val="FFFFFF" w:themeColor="background1"/>
                <w:sz w:val="20"/>
                <w:szCs w:val="20"/>
                <w:lang w:val="en-US"/>
              </w:rPr>
            </w:pPr>
            <w:r w:rsidRPr="00AD4785">
              <w:rPr>
                <w:rFonts w:ascii="Times New Roman" w:hAnsi="Times New Roman" w:cs="Times New Roman"/>
                <w:b/>
                <w:bCs/>
                <w:color w:val="FFFFFF" w:themeColor="background1"/>
                <w:sz w:val="20"/>
                <w:szCs w:val="20"/>
                <w:lang w:val="en-US"/>
              </w:rPr>
              <w:t xml:space="preserve">System </w:t>
            </w:r>
            <w:r>
              <w:rPr>
                <w:rFonts w:ascii="Times New Roman" w:hAnsi="Times New Roman" w:cs="Times New Roman"/>
                <w:b/>
                <w:bCs/>
                <w:color w:val="FFFFFF" w:themeColor="background1"/>
                <w:sz w:val="20"/>
                <w:szCs w:val="20"/>
                <w:lang w:val="en-US"/>
              </w:rPr>
              <w:t>VMT</w:t>
            </w:r>
          </w:p>
        </w:tc>
        <w:tc>
          <w:tcPr>
            <w:tcW w:w="1660" w:type="dxa"/>
            <w:shd w:val="clear" w:color="auto" w:fill="00B0F0"/>
            <w:noWrap/>
          </w:tcPr>
          <w:p w14:paraId="1AE3943A" w14:textId="050E8DA0" w:rsidR="00927F66" w:rsidRPr="00927F66" w:rsidRDefault="00927F66" w:rsidP="00927F66">
            <w:pPr>
              <w:jc w:val="center"/>
              <w:rPr>
                <w:rFonts w:ascii="Times New Roman" w:hAnsi="Times New Roman" w:cs="Times New Roman"/>
                <w:b/>
                <w:bCs/>
                <w:color w:val="FFFFFF" w:themeColor="background1"/>
                <w:sz w:val="20"/>
                <w:szCs w:val="20"/>
                <w:lang w:val="en-US"/>
              </w:rPr>
            </w:pPr>
            <w:r w:rsidRPr="00AD4785">
              <w:rPr>
                <w:rFonts w:ascii="Times New Roman" w:hAnsi="Times New Roman" w:cs="Times New Roman"/>
                <w:b/>
                <w:bCs/>
                <w:color w:val="FFFFFF" w:themeColor="background1"/>
                <w:sz w:val="20"/>
                <w:szCs w:val="20"/>
                <w:lang w:val="en-US"/>
              </w:rPr>
              <w:t xml:space="preserve">Cambridge </w:t>
            </w:r>
            <w:proofErr w:type="spellStart"/>
            <w:r w:rsidRPr="00AD4785">
              <w:rPr>
                <w:rFonts w:ascii="Times New Roman" w:hAnsi="Times New Roman" w:cs="Times New Roman"/>
                <w:b/>
                <w:bCs/>
                <w:color w:val="FFFFFF" w:themeColor="background1"/>
                <w:sz w:val="20"/>
                <w:szCs w:val="20"/>
                <w:lang w:val="en-US"/>
              </w:rPr>
              <w:t>pct</w:t>
            </w:r>
            <w:proofErr w:type="spellEnd"/>
          </w:p>
        </w:tc>
      </w:tr>
      <w:tr w:rsidR="00927F66" w:rsidRPr="00AD4785" w14:paraId="0FBA0107" w14:textId="77777777" w:rsidTr="00AD4785">
        <w:trPr>
          <w:cnfStyle w:val="000000100000" w:firstRow="0" w:lastRow="0" w:firstColumn="0" w:lastColumn="0" w:oddVBand="0" w:evenVBand="0" w:oddHBand="1" w:evenHBand="0" w:firstRowFirstColumn="0" w:firstRowLastColumn="0" w:lastRowFirstColumn="0" w:lastRowLastColumn="0"/>
          <w:trHeight w:val="285"/>
        </w:trPr>
        <w:tc>
          <w:tcPr>
            <w:tcW w:w="3340" w:type="dxa"/>
            <w:noWrap/>
            <w:hideMark/>
          </w:tcPr>
          <w:p w14:paraId="7D8CD786" w14:textId="535A38E5" w:rsidR="00927F66" w:rsidRPr="00AD4785" w:rsidRDefault="00927F66" w:rsidP="00927F66">
            <w:pPr>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Trackless trolley</w:t>
            </w:r>
          </w:p>
        </w:tc>
        <w:tc>
          <w:tcPr>
            <w:tcW w:w="2640" w:type="dxa"/>
            <w:noWrap/>
            <w:hideMark/>
          </w:tcPr>
          <w:p w14:paraId="1F3530B5" w14:textId="77777777" w:rsidR="00927F66" w:rsidRPr="00AD4785" w:rsidRDefault="00927F66" w:rsidP="00927F66">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898,588.8</w:t>
            </w:r>
          </w:p>
        </w:tc>
        <w:tc>
          <w:tcPr>
            <w:tcW w:w="1540" w:type="dxa"/>
            <w:noWrap/>
            <w:hideMark/>
          </w:tcPr>
          <w:p w14:paraId="569A6180" w14:textId="77777777" w:rsidR="00927F66" w:rsidRPr="00AD4785" w:rsidRDefault="00927F66" w:rsidP="00927F66">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1,601,904.0</w:t>
            </w:r>
          </w:p>
        </w:tc>
        <w:tc>
          <w:tcPr>
            <w:tcW w:w="1660" w:type="dxa"/>
            <w:noWrap/>
            <w:hideMark/>
          </w:tcPr>
          <w:p w14:paraId="7B9B4BDB" w14:textId="77777777" w:rsidR="00927F66" w:rsidRPr="00AD4785" w:rsidRDefault="00927F66" w:rsidP="00927F66">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56.1%</w:t>
            </w:r>
          </w:p>
        </w:tc>
      </w:tr>
      <w:tr w:rsidR="00927F66" w:rsidRPr="00AD4785" w14:paraId="1B34A28D" w14:textId="77777777" w:rsidTr="00AD4785">
        <w:trPr>
          <w:cnfStyle w:val="000000010000" w:firstRow="0" w:lastRow="0" w:firstColumn="0" w:lastColumn="0" w:oddVBand="0" w:evenVBand="0" w:oddHBand="0" w:evenHBand="1" w:firstRowFirstColumn="0" w:firstRowLastColumn="0" w:lastRowFirstColumn="0" w:lastRowLastColumn="0"/>
          <w:trHeight w:val="285"/>
        </w:trPr>
        <w:tc>
          <w:tcPr>
            <w:tcW w:w="3340" w:type="dxa"/>
            <w:noWrap/>
            <w:hideMark/>
          </w:tcPr>
          <w:p w14:paraId="6DC635BE" w14:textId="5AE4819D" w:rsidR="00927F66" w:rsidRPr="00AD4785" w:rsidRDefault="00927F66" w:rsidP="00927F66">
            <w:pPr>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Bus</w:t>
            </w:r>
          </w:p>
        </w:tc>
        <w:tc>
          <w:tcPr>
            <w:tcW w:w="2640" w:type="dxa"/>
            <w:noWrap/>
            <w:hideMark/>
          </w:tcPr>
          <w:p w14:paraId="6808AFCF" w14:textId="77777777" w:rsidR="00927F66" w:rsidRPr="00AD4785" w:rsidRDefault="00927F66" w:rsidP="00927F66">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1,439,501.7</w:t>
            </w:r>
          </w:p>
        </w:tc>
        <w:tc>
          <w:tcPr>
            <w:tcW w:w="1540" w:type="dxa"/>
            <w:noWrap/>
            <w:hideMark/>
          </w:tcPr>
          <w:p w14:paraId="304D86B8" w14:textId="77777777" w:rsidR="00927F66" w:rsidRPr="00AD4785" w:rsidRDefault="00927F66" w:rsidP="00927F66">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40,933,536.6</w:t>
            </w:r>
          </w:p>
        </w:tc>
        <w:tc>
          <w:tcPr>
            <w:tcW w:w="1660" w:type="dxa"/>
            <w:noWrap/>
            <w:hideMark/>
          </w:tcPr>
          <w:p w14:paraId="2936179D" w14:textId="77777777" w:rsidR="00927F66" w:rsidRPr="00AD4785" w:rsidRDefault="00927F66" w:rsidP="00927F66">
            <w:pPr>
              <w:jc w:val="right"/>
              <w:rPr>
                <w:rFonts w:ascii="Times New Roman" w:hAnsi="Times New Roman" w:cs="Times New Roman"/>
                <w:color w:val="000000"/>
                <w:sz w:val="20"/>
                <w:szCs w:val="20"/>
                <w:lang w:val="en-US"/>
              </w:rPr>
            </w:pPr>
            <w:r w:rsidRPr="00AD4785">
              <w:rPr>
                <w:rFonts w:ascii="Times New Roman" w:hAnsi="Times New Roman" w:cs="Times New Roman"/>
                <w:color w:val="000000"/>
                <w:sz w:val="20"/>
                <w:szCs w:val="20"/>
                <w:lang w:val="en-US"/>
              </w:rPr>
              <w:t>3.5%</w:t>
            </w:r>
          </w:p>
        </w:tc>
      </w:tr>
    </w:tbl>
    <w:p w14:paraId="4C6C48F0" w14:textId="01E1A190" w:rsidR="00AD4785" w:rsidRDefault="00AD4785" w:rsidP="005116A7">
      <w:pPr>
        <w:pStyle w:val="ParaText"/>
      </w:pPr>
    </w:p>
    <w:p w14:paraId="05207D4C" w14:textId="3E7D81D2" w:rsidR="00250C26" w:rsidRDefault="00250C26" w:rsidP="0007343E">
      <w:pPr>
        <w:pStyle w:val="BodyText"/>
        <w:rPr>
          <w:rFonts w:ascii="Times New Roman" w:hAnsi="Times New Roman" w:cs="Times New Roman"/>
          <w:b/>
          <w:bCs/>
          <w:sz w:val="22"/>
          <w:szCs w:val="22"/>
        </w:rPr>
      </w:pPr>
      <w:r w:rsidRPr="00250C26">
        <w:rPr>
          <w:rFonts w:ascii="Times New Roman" w:hAnsi="Times New Roman" w:cs="Times New Roman"/>
          <w:b/>
          <w:bCs/>
          <w:sz w:val="22"/>
          <w:szCs w:val="22"/>
        </w:rPr>
        <w:t>GPC Quantification Method</w:t>
      </w:r>
    </w:p>
    <w:p w14:paraId="3FCC7E19" w14:textId="19DBF5E4" w:rsidR="00A135D1" w:rsidRPr="00A135D1" w:rsidRDefault="00A135D1" w:rsidP="00A135D1">
      <w:pPr>
        <w:pStyle w:val="ParaText"/>
      </w:pPr>
      <w:r>
        <w:lastRenderedPageBreak/>
        <w:t>Trackless trolley and bus emissions were calculated in accordance with Section 7.3 of the GPC. Heavy rail, light rail, and commuter rail emissions were quantified in accordance with Section 7.4 of the GPC.</w:t>
      </w:r>
    </w:p>
    <w:p w14:paraId="13ACD793" w14:textId="0327F8CE" w:rsidR="00250C26" w:rsidRDefault="00250C26" w:rsidP="0007343E">
      <w:pPr>
        <w:pStyle w:val="BodyText"/>
        <w:rPr>
          <w:rFonts w:ascii="Times New Roman" w:hAnsi="Times New Roman" w:cs="Times New Roman"/>
          <w:b/>
          <w:bCs/>
          <w:sz w:val="22"/>
          <w:szCs w:val="22"/>
        </w:rPr>
      </w:pPr>
      <w:r w:rsidRPr="00250C26">
        <w:rPr>
          <w:rFonts w:ascii="Times New Roman" w:hAnsi="Times New Roman" w:cs="Times New Roman"/>
          <w:b/>
          <w:bCs/>
          <w:sz w:val="22"/>
          <w:szCs w:val="22"/>
        </w:rPr>
        <w:t>Emissions Factor Used</w:t>
      </w:r>
    </w:p>
    <w:p w14:paraId="1344B440" w14:textId="562B717A" w:rsidR="00DC1D22" w:rsidRDefault="0087213F" w:rsidP="00B043C3">
      <w:pPr>
        <w:pStyle w:val="BodyText"/>
        <w:rPr>
          <w:rFonts w:ascii="Arial" w:hAnsi="Arial" w:cs="Arial"/>
          <w:b/>
          <w:bCs/>
          <w:sz w:val="20"/>
          <w:szCs w:val="20"/>
          <w:lang w:val="en-US"/>
        </w:rPr>
      </w:pPr>
      <w:r>
        <w:rPr>
          <w:rFonts w:ascii="Times New Roman" w:hAnsi="Times New Roman" w:cs="Times New Roman"/>
          <w:sz w:val="22"/>
          <w:szCs w:val="22"/>
        </w:rPr>
        <w:t>Diesel and CNG emission factors are from TCR and electricity emission factor is from ISO New England</w:t>
      </w:r>
      <w:r w:rsidR="00814505">
        <w:rPr>
          <w:rFonts w:ascii="Times New Roman" w:hAnsi="Times New Roman" w:cs="Times New Roman"/>
          <w:sz w:val="22"/>
          <w:szCs w:val="22"/>
        </w:rPr>
        <w:t xml:space="preserve"> as provided in </w:t>
      </w:r>
      <w:r w:rsidR="00814505" w:rsidRPr="00814505">
        <w:rPr>
          <w:rFonts w:ascii="Times New Roman" w:hAnsi="Times New Roman" w:cs="Times New Roman"/>
          <w:sz w:val="22"/>
          <w:szCs w:val="22"/>
        </w:rPr>
        <w:fldChar w:fldCharType="begin"/>
      </w:r>
      <w:r w:rsidR="00814505" w:rsidRPr="00814505">
        <w:rPr>
          <w:rFonts w:ascii="Times New Roman" w:hAnsi="Times New Roman" w:cs="Times New Roman"/>
          <w:sz w:val="22"/>
          <w:szCs w:val="22"/>
        </w:rPr>
        <w:instrText xml:space="preserve"> REF _Ref477436825 \h  \* MERGEFORMAT </w:instrText>
      </w:r>
      <w:r w:rsidR="00814505" w:rsidRPr="00814505">
        <w:rPr>
          <w:rFonts w:ascii="Times New Roman" w:hAnsi="Times New Roman" w:cs="Times New Roman"/>
          <w:sz w:val="22"/>
          <w:szCs w:val="22"/>
        </w:rPr>
      </w:r>
      <w:r w:rsidR="00814505" w:rsidRPr="00814505">
        <w:rPr>
          <w:rFonts w:ascii="Times New Roman" w:hAnsi="Times New Roman" w:cs="Times New Roman"/>
          <w:sz w:val="22"/>
          <w:szCs w:val="22"/>
        </w:rPr>
        <w:fldChar w:fldCharType="separate"/>
      </w:r>
      <w:r w:rsidR="00B043C3" w:rsidRPr="00B043C3">
        <w:rPr>
          <w:rFonts w:ascii="Times New Roman" w:hAnsi="Times New Roman" w:cs="Times New Roman"/>
          <w:sz w:val="22"/>
          <w:szCs w:val="22"/>
        </w:rPr>
        <w:t>Table</w:t>
      </w:r>
      <w:r w:rsidR="00B043C3" w:rsidRPr="00B043C3">
        <w:rPr>
          <w:rFonts w:ascii="Times New Roman" w:hAnsi="Times New Roman" w:cs="Times New Roman"/>
          <w:noProof/>
          <w:sz w:val="22"/>
          <w:szCs w:val="22"/>
        </w:rPr>
        <w:t xml:space="preserve"> </w:t>
      </w:r>
      <w:r w:rsidR="00B043C3">
        <w:rPr>
          <w:noProof/>
          <w:sz w:val="20"/>
          <w:szCs w:val="20"/>
        </w:rPr>
        <w:t>14</w:t>
      </w:r>
      <w:r w:rsidR="00814505" w:rsidRPr="00814505">
        <w:rPr>
          <w:rFonts w:ascii="Times New Roman" w:hAnsi="Times New Roman" w:cs="Times New Roman"/>
          <w:sz w:val="22"/>
          <w:szCs w:val="22"/>
        </w:rPr>
        <w:fldChar w:fldCharType="end"/>
      </w:r>
      <w:r w:rsidR="00814505" w:rsidRPr="00814505">
        <w:rPr>
          <w:rFonts w:ascii="Times New Roman" w:hAnsi="Times New Roman" w:cs="Times New Roman"/>
          <w:sz w:val="22"/>
          <w:szCs w:val="22"/>
        </w:rPr>
        <w:t>.</w:t>
      </w:r>
      <w:bookmarkStart w:id="48" w:name="_Ref477436825"/>
    </w:p>
    <w:p w14:paraId="1B8E11C7" w14:textId="5BAD3620" w:rsidR="0087213F" w:rsidRPr="00250C26" w:rsidRDefault="00814505" w:rsidP="00814505">
      <w:pPr>
        <w:pStyle w:val="Caption"/>
        <w:rPr>
          <w:rFonts w:ascii="Times New Roman" w:hAnsi="Times New Roman" w:cs="Times New Roman"/>
          <w:b w:val="0"/>
          <w:bCs w:val="0"/>
          <w:sz w:val="22"/>
          <w:szCs w:val="22"/>
        </w:rPr>
      </w:pPr>
      <w:r w:rsidRPr="00814505">
        <w:rPr>
          <w:sz w:val="20"/>
          <w:szCs w:val="20"/>
        </w:rPr>
        <w:t xml:space="preserve">Table </w:t>
      </w:r>
      <w:r w:rsidRPr="00814505">
        <w:rPr>
          <w:sz w:val="20"/>
          <w:szCs w:val="20"/>
        </w:rPr>
        <w:fldChar w:fldCharType="begin"/>
      </w:r>
      <w:r w:rsidRPr="00814505">
        <w:rPr>
          <w:sz w:val="20"/>
          <w:szCs w:val="20"/>
        </w:rPr>
        <w:instrText xml:space="preserve"> SEQ Table \* ARABIC </w:instrText>
      </w:r>
      <w:r w:rsidRPr="00814505">
        <w:rPr>
          <w:sz w:val="20"/>
          <w:szCs w:val="20"/>
        </w:rPr>
        <w:fldChar w:fldCharType="separate"/>
      </w:r>
      <w:r w:rsidR="00AD4785">
        <w:rPr>
          <w:noProof/>
          <w:sz w:val="20"/>
          <w:szCs w:val="20"/>
        </w:rPr>
        <w:t>14</w:t>
      </w:r>
      <w:r w:rsidRPr="00814505">
        <w:rPr>
          <w:sz w:val="20"/>
          <w:szCs w:val="20"/>
        </w:rPr>
        <w:fldChar w:fldCharType="end"/>
      </w:r>
      <w:bookmarkEnd w:id="48"/>
      <w:r w:rsidRPr="00814505">
        <w:rPr>
          <w:sz w:val="20"/>
          <w:szCs w:val="20"/>
        </w:rPr>
        <w:t xml:space="preserve">: </w:t>
      </w:r>
      <w:r w:rsidRPr="00814505">
        <w:rPr>
          <w:bCs w:val="0"/>
          <w:sz w:val="20"/>
          <w:szCs w:val="20"/>
        </w:rPr>
        <w:t>Public</w:t>
      </w:r>
      <w:r w:rsidRPr="00814505">
        <w:rPr>
          <w:bCs w:val="0"/>
          <w:sz w:val="20"/>
          <w:szCs w:val="22"/>
        </w:rPr>
        <w:t xml:space="preserve"> Transit Emission Factors</w:t>
      </w:r>
    </w:p>
    <w:tbl>
      <w:tblPr>
        <w:tblStyle w:val="AlternatingRows3"/>
        <w:tblW w:w="0" w:type="auto"/>
        <w:tblLook w:val="04A0" w:firstRow="1" w:lastRow="0" w:firstColumn="1" w:lastColumn="0" w:noHBand="0" w:noVBand="1"/>
      </w:tblPr>
      <w:tblGrid>
        <w:gridCol w:w="1818"/>
        <w:gridCol w:w="1939"/>
        <w:gridCol w:w="1940"/>
        <w:gridCol w:w="1940"/>
      </w:tblGrid>
      <w:tr w:rsidR="0087213F" w:rsidRPr="00241AAC" w14:paraId="7CEFE64B" w14:textId="2F2BE428" w:rsidTr="00814505">
        <w:trPr>
          <w:cnfStyle w:val="100000000000" w:firstRow="1" w:lastRow="0" w:firstColumn="0" w:lastColumn="0" w:oddVBand="0" w:evenVBand="0" w:oddHBand="0" w:evenHBand="0" w:firstRowFirstColumn="0" w:firstRowLastColumn="0" w:lastRowFirstColumn="0" w:lastRowLastColumn="0"/>
        </w:trPr>
        <w:tc>
          <w:tcPr>
            <w:tcW w:w="1818" w:type="dxa"/>
            <w:shd w:val="clear" w:color="auto" w:fill="17365D" w:themeFill="text2" w:themeFillShade="BF"/>
          </w:tcPr>
          <w:p w14:paraId="7B8969F7" w14:textId="12769B7A" w:rsidR="0087213F" w:rsidRPr="00241AAC" w:rsidRDefault="0087213F" w:rsidP="00092E74">
            <w:pPr>
              <w:pStyle w:val="NoSpacing"/>
              <w:rPr>
                <w:rFonts w:ascii="Times New Roman" w:hAnsi="Times New Roman" w:cs="Times New Roman"/>
                <w:b w:val="0"/>
                <w:bCs/>
                <w:sz w:val="20"/>
                <w:szCs w:val="22"/>
              </w:rPr>
            </w:pPr>
            <w:r w:rsidRPr="00241AAC">
              <w:rPr>
                <w:rFonts w:ascii="Times New Roman" w:hAnsi="Times New Roman" w:cs="Times New Roman"/>
                <w:bCs/>
                <w:sz w:val="20"/>
                <w:szCs w:val="22"/>
              </w:rPr>
              <w:t>Fuel Type</w:t>
            </w:r>
          </w:p>
        </w:tc>
        <w:tc>
          <w:tcPr>
            <w:tcW w:w="1939" w:type="dxa"/>
            <w:shd w:val="clear" w:color="auto" w:fill="17365D" w:themeFill="text2" w:themeFillShade="BF"/>
          </w:tcPr>
          <w:p w14:paraId="61B3196C" w14:textId="59B98327" w:rsidR="0087213F" w:rsidRPr="00241AAC" w:rsidRDefault="0087213F" w:rsidP="00092E74">
            <w:pPr>
              <w:pStyle w:val="NoSpacing"/>
              <w:rPr>
                <w:rFonts w:ascii="Times New Roman" w:hAnsi="Times New Roman" w:cs="Times New Roman"/>
                <w:b w:val="0"/>
                <w:bCs/>
                <w:sz w:val="20"/>
                <w:szCs w:val="22"/>
              </w:rPr>
            </w:pPr>
            <w:r w:rsidRPr="00241AAC">
              <w:rPr>
                <w:rFonts w:ascii="Times New Roman" w:hAnsi="Times New Roman" w:cs="Times New Roman"/>
                <w:bCs/>
                <w:sz w:val="20"/>
                <w:szCs w:val="22"/>
              </w:rPr>
              <w:t xml:space="preserve">Emission Factor </w:t>
            </w:r>
          </w:p>
        </w:tc>
        <w:tc>
          <w:tcPr>
            <w:tcW w:w="1940" w:type="dxa"/>
            <w:shd w:val="clear" w:color="auto" w:fill="17365D" w:themeFill="text2" w:themeFillShade="BF"/>
          </w:tcPr>
          <w:p w14:paraId="2EE32545" w14:textId="6FDB5DC3" w:rsidR="0087213F" w:rsidRPr="00241AAC" w:rsidRDefault="0087213F" w:rsidP="00092E74">
            <w:pPr>
              <w:pStyle w:val="NoSpacing"/>
              <w:rPr>
                <w:rFonts w:ascii="Times New Roman" w:hAnsi="Times New Roman" w:cs="Times New Roman"/>
                <w:b w:val="0"/>
                <w:bCs/>
                <w:sz w:val="20"/>
                <w:szCs w:val="22"/>
              </w:rPr>
            </w:pPr>
            <w:r w:rsidRPr="00241AAC">
              <w:rPr>
                <w:rFonts w:ascii="Times New Roman" w:hAnsi="Times New Roman" w:cs="Times New Roman"/>
                <w:bCs/>
                <w:sz w:val="20"/>
                <w:szCs w:val="22"/>
              </w:rPr>
              <w:t>Emission Factor Units</w:t>
            </w:r>
          </w:p>
          <w:p w14:paraId="5B198428" w14:textId="77777777" w:rsidR="0087213F" w:rsidRPr="00241AAC" w:rsidRDefault="0087213F" w:rsidP="00092E74">
            <w:pPr>
              <w:pStyle w:val="NoSpacing"/>
              <w:rPr>
                <w:rFonts w:ascii="Times New Roman" w:hAnsi="Times New Roman" w:cs="Times New Roman"/>
                <w:b w:val="0"/>
                <w:bCs/>
                <w:sz w:val="20"/>
                <w:szCs w:val="22"/>
              </w:rPr>
            </w:pPr>
          </w:p>
        </w:tc>
        <w:tc>
          <w:tcPr>
            <w:tcW w:w="1940" w:type="dxa"/>
            <w:shd w:val="clear" w:color="auto" w:fill="17365D" w:themeFill="text2" w:themeFillShade="BF"/>
          </w:tcPr>
          <w:p w14:paraId="41DC9DFC" w14:textId="32AC497E" w:rsidR="0087213F" w:rsidRPr="00241AAC" w:rsidRDefault="0087213F" w:rsidP="00092E74">
            <w:pPr>
              <w:pStyle w:val="NoSpacing"/>
              <w:rPr>
                <w:rFonts w:ascii="Times New Roman" w:hAnsi="Times New Roman" w:cs="Times New Roman"/>
                <w:b w:val="0"/>
                <w:bCs/>
                <w:sz w:val="20"/>
                <w:szCs w:val="22"/>
              </w:rPr>
            </w:pPr>
            <w:r w:rsidRPr="00241AAC">
              <w:rPr>
                <w:rFonts w:ascii="Times New Roman" w:hAnsi="Times New Roman" w:cs="Times New Roman"/>
                <w:bCs/>
                <w:sz w:val="20"/>
                <w:szCs w:val="22"/>
              </w:rPr>
              <w:t>Source</w:t>
            </w:r>
          </w:p>
        </w:tc>
      </w:tr>
      <w:tr w:rsidR="0087213F" w:rsidRPr="00241AAC" w14:paraId="32ADE1B3" w14:textId="47A5A304" w:rsidTr="00814505">
        <w:trPr>
          <w:cnfStyle w:val="000000100000" w:firstRow="0" w:lastRow="0" w:firstColumn="0" w:lastColumn="0" w:oddVBand="0" w:evenVBand="0" w:oddHBand="1" w:evenHBand="0" w:firstRowFirstColumn="0" w:firstRowLastColumn="0" w:lastRowFirstColumn="0" w:lastRowLastColumn="0"/>
        </w:trPr>
        <w:tc>
          <w:tcPr>
            <w:tcW w:w="1818" w:type="dxa"/>
          </w:tcPr>
          <w:p w14:paraId="68D40D00" w14:textId="08283F35"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Diesel</w:t>
            </w:r>
          </w:p>
        </w:tc>
        <w:tc>
          <w:tcPr>
            <w:tcW w:w="1939" w:type="dxa"/>
          </w:tcPr>
          <w:p w14:paraId="2A03B469" w14:textId="4DA90497"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0.01033</w:t>
            </w:r>
          </w:p>
        </w:tc>
        <w:tc>
          <w:tcPr>
            <w:tcW w:w="1940" w:type="dxa"/>
          </w:tcPr>
          <w:p w14:paraId="6B2CD9D6" w14:textId="126F181C"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MT CO2e / gallon</w:t>
            </w:r>
          </w:p>
        </w:tc>
        <w:tc>
          <w:tcPr>
            <w:tcW w:w="1940" w:type="dxa"/>
          </w:tcPr>
          <w:p w14:paraId="386B9B75" w14:textId="262604AC"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TCR</w:t>
            </w:r>
          </w:p>
        </w:tc>
      </w:tr>
      <w:tr w:rsidR="0087213F" w:rsidRPr="00241AAC" w14:paraId="341776EE" w14:textId="1337AA87" w:rsidTr="00814505">
        <w:trPr>
          <w:cnfStyle w:val="000000010000" w:firstRow="0" w:lastRow="0" w:firstColumn="0" w:lastColumn="0" w:oddVBand="0" w:evenVBand="0" w:oddHBand="0" w:evenHBand="1" w:firstRowFirstColumn="0" w:firstRowLastColumn="0" w:lastRowFirstColumn="0" w:lastRowLastColumn="0"/>
        </w:trPr>
        <w:tc>
          <w:tcPr>
            <w:tcW w:w="1818" w:type="dxa"/>
          </w:tcPr>
          <w:p w14:paraId="1A62BD70" w14:textId="0B0D7BBF"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CNG</w:t>
            </w:r>
          </w:p>
        </w:tc>
        <w:tc>
          <w:tcPr>
            <w:tcW w:w="1939" w:type="dxa"/>
          </w:tcPr>
          <w:p w14:paraId="590A44A2" w14:textId="168C470F"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0.05306</w:t>
            </w:r>
          </w:p>
        </w:tc>
        <w:tc>
          <w:tcPr>
            <w:tcW w:w="1940" w:type="dxa"/>
          </w:tcPr>
          <w:p w14:paraId="79F7D79C" w14:textId="4AFC939B"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MT CO2 / MMBTU</w:t>
            </w:r>
          </w:p>
        </w:tc>
        <w:tc>
          <w:tcPr>
            <w:tcW w:w="1940" w:type="dxa"/>
          </w:tcPr>
          <w:p w14:paraId="5995BA68" w14:textId="56B78C4E"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TCR</w:t>
            </w:r>
          </w:p>
        </w:tc>
      </w:tr>
      <w:tr w:rsidR="0087213F" w:rsidRPr="00241AAC" w14:paraId="5C4444CB" w14:textId="601D1EEA" w:rsidTr="00814505">
        <w:trPr>
          <w:cnfStyle w:val="000000100000" w:firstRow="0" w:lastRow="0" w:firstColumn="0" w:lastColumn="0" w:oddVBand="0" w:evenVBand="0" w:oddHBand="1" w:evenHBand="0" w:firstRowFirstColumn="0" w:firstRowLastColumn="0" w:lastRowFirstColumn="0" w:lastRowLastColumn="0"/>
        </w:trPr>
        <w:tc>
          <w:tcPr>
            <w:tcW w:w="1818" w:type="dxa"/>
          </w:tcPr>
          <w:p w14:paraId="32CAA4A4" w14:textId="1F50F74D"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Electricity</w:t>
            </w:r>
          </w:p>
        </w:tc>
        <w:tc>
          <w:tcPr>
            <w:tcW w:w="1939" w:type="dxa"/>
          </w:tcPr>
          <w:p w14:paraId="231B06F7" w14:textId="1E8ECD96"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0.000353802</w:t>
            </w:r>
          </w:p>
        </w:tc>
        <w:tc>
          <w:tcPr>
            <w:tcW w:w="1940" w:type="dxa"/>
          </w:tcPr>
          <w:p w14:paraId="5EE6EDF9" w14:textId="6771C3BD"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MT CO2 / kWh</w:t>
            </w:r>
          </w:p>
        </w:tc>
        <w:tc>
          <w:tcPr>
            <w:tcW w:w="1940" w:type="dxa"/>
          </w:tcPr>
          <w:p w14:paraId="5837EFDE" w14:textId="5A8E74DC" w:rsidR="0087213F" w:rsidRPr="00241AAC" w:rsidRDefault="0087213F" w:rsidP="00092E74">
            <w:pPr>
              <w:pStyle w:val="NoSpacing"/>
              <w:jc w:val="center"/>
              <w:rPr>
                <w:rFonts w:ascii="Times New Roman" w:hAnsi="Times New Roman" w:cs="Times New Roman"/>
                <w:sz w:val="20"/>
                <w:szCs w:val="22"/>
              </w:rPr>
            </w:pPr>
            <w:r w:rsidRPr="00241AAC">
              <w:rPr>
                <w:rFonts w:ascii="Times New Roman" w:hAnsi="Times New Roman" w:cs="Times New Roman"/>
                <w:sz w:val="20"/>
                <w:szCs w:val="22"/>
              </w:rPr>
              <w:t>ISO New England</w:t>
            </w:r>
          </w:p>
        </w:tc>
      </w:tr>
    </w:tbl>
    <w:p w14:paraId="3271305F" w14:textId="4EB28BDC" w:rsidR="00250C26" w:rsidRDefault="00250C26" w:rsidP="0007343E">
      <w:pPr>
        <w:pStyle w:val="BodyText"/>
      </w:pPr>
    </w:p>
    <w:p w14:paraId="117087D7" w14:textId="77777777" w:rsidR="00250C26" w:rsidRPr="0007343E" w:rsidRDefault="00250C26" w:rsidP="0007343E">
      <w:pPr>
        <w:pStyle w:val="BodyText"/>
      </w:pPr>
    </w:p>
    <w:p w14:paraId="3C0B6853" w14:textId="77777777" w:rsidR="00620427" w:rsidRDefault="00620427" w:rsidP="00620427">
      <w:pPr>
        <w:pStyle w:val="Heading3"/>
        <w:tabs>
          <w:tab w:val="clear" w:pos="907"/>
          <w:tab w:val="num" w:pos="1080"/>
        </w:tabs>
        <w:spacing w:before="0" w:after="240"/>
        <w:ind w:left="1080" w:hanging="1080"/>
      </w:pPr>
      <w:bookmarkStart w:id="49" w:name="_Toc457892269"/>
      <w:r>
        <w:t>Waste – Solid Waste Disposal</w:t>
      </w:r>
      <w:bookmarkEnd w:id="49"/>
    </w:p>
    <w:p w14:paraId="3C0B6854" w14:textId="1D3CDF21" w:rsidR="00620427" w:rsidRPr="00D0329D" w:rsidRDefault="00620427" w:rsidP="007247C5">
      <w:pPr>
        <w:pStyle w:val="ParaText"/>
      </w:pPr>
      <w:r w:rsidRPr="00D0329D">
        <w:t xml:space="preserve">For the City of Cambridge, solid waste consists mainly of Municipal Solid Waste (MSW), </w:t>
      </w:r>
      <w:r w:rsidR="003D374C">
        <w:t>b</w:t>
      </w:r>
      <w:r w:rsidR="007247C5">
        <w:t>ut is collected by various entities</w:t>
      </w:r>
      <w:r w:rsidRPr="00D0329D">
        <w:t xml:space="preserve">. </w:t>
      </w:r>
      <w:r w:rsidR="003D374C">
        <w:t xml:space="preserve">About </w:t>
      </w:r>
      <w:r w:rsidR="008143AA">
        <w:t>30%</w:t>
      </w:r>
      <w:r w:rsidR="003D374C">
        <w:t xml:space="preserve"> of the MSW is collected as part of the </w:t>
      </w:r>
      <w:r w:rsidR="007247C5">
        <w:t xml:space="preserve">municipal </w:t>
      </w:r>
      <w:r w:rsidR="003D374C">
        <w:t xml:space="preserve">curbside pick-up programs. The other </w:t>
      </w:r>
      <w:r w:rsidR="008143AA">
        <w:t>70%</w:t>
      </w:r>
      <w:r w:rsidR="003D374C">
        <w:t xml:space="preserve"> is collected by private haulers that work for larger </w:t>
      </w:r>
      <w:r w:rsidR="00F26B8E">
        <w:t xml:space="preserve">multi-family complexes or commercial facilities. </w:t>
      </w:r>
      <w:r w:rsidRPr="00D0329D">
        <w:t xml:space="preserve">To calculate the emissions associated with solid </w:t>
      </w:r>
      <w:r w:rsidR="00AF1FD4" w:rsidRPr="00D0329D">
        <w:t>waste, information</w:t>
      </w:r>
      <w:r w:rsidRPr="00D0329D">
        <w:t xml:space="preserve"> </w:t>
      </w:r>
      <w:r w:rsidR="00F26B8E">
        <w:t xml:space="preserve">is needed </w:t>
      </w:r>
      <w:r w:rsidRPr="00D0329D">
        <w:t xml:space="preserve">on the amount of solid waste </w:t>
      </w:r>
      <w:r w:rsidR="00F26B8E">
        <w:t>collected from</w:t>
      </w:r>
      <w:r w:rsidRPr="00D0329D">
        <w:t xml:space="preserve"> residents and businesses</w:t>
      </w:r>
      <w:r w:rsidR="00F26B8E">
        <w:t xml:space="preserve"> as part of the curbside pickup, as well as the amount of solid waste collected by private haulers. Information on where the MSW is disposed of is also needed. </w:t>
      </w:r>
    </w:p>
    <w:p w14:paraId="7AC39DBD" w14:textId="39BC8C1B" w:rsidR="007247C5" w:rsidRDefault="00620427" w:rsidP="000A2AF5">
      <w:pPr>
        <w:pStyle w:val="ParaText"/>
      </w:pPr>
      <w:r w:rsidRPr="00D0329D">
        <w:t xml:space="preserve">The main source of information </w:t>
      </w:r>
      <w:r w:rsidR="003D0E59">
        <w:t xml:space="preserve">for MSW generated </w:t>
      </w:r>
      <w:r w:rsidR="00F26B8E">
        <w:t>was</w:t>
      </w:r>
      <w:r w:rsidRPr="00D0329D">
        <w:t xml:space="preserve"> city waste collection and disposal records </w:t>
      </w:r>
      <w:r w:rsidR="00F26B8E">
        <w:t xml:space="preserve">provided by </w:t>
      </w:r>
      <w:r>
        <w:t>the City Department of Public Works</w:t>
      </w:r>
      <w:r w:rsidR="00F26B8E">
        <w:t xml:space="preserve">. </w:t>
      </w:r>
      <w:r w:rsidR="007247C5">
        <w:t>Public Works maintains detailed records on the tonnage of MSW collected by individual truck</w:t>
      </w:r>
      <w:r w:rsidR="003D0E59">
        <w:t>s</w:t>
      </w:r>
      <w:r w:rsidR="007247C5">
        <w:t xml:space="preserve"> serving the city. They also maintain statistics on waste from other municipal operations such as tree stump removal, pavement and street cleaning operations, and catch basin debris. </w:t>
      </w:r>
      <w:r w:rsidR="003D0E59">
        <w:t>This is considered “Mixed Waste.” The total amount of MSW collected by municipal services is the Curbside Pickup plus the Mixed Waste. Public Works also collects d</w:t>
      </w:r>
      <w:r w:rsidR="007247C5">
        <w:t xml:space="preserve">etailed information </w:t>
      </w:r>
      <w:r w:rsidR="003D0E59">
        <w:t xml:space="preserve">on </w:t>
      </w:r>
      <w:r w:rsidR="007247C5">
        <w:t xml:space="preserve">the curbside recycling programs </w:t>
      </w:r>
      <w:r w:rsidR="000A2AF5">
        <w:t>as well; however</w:t>
      </w:r>
      <w:r w:rsidR="008143AA">
        <w:t>,</w:t>
      </w:r>
      <w:r w:rsidR="000A2AF5">
        <w:t xml:space="preserve"> because no emissions are generated from</w:t>
      </w:r>
      <w:r w:rsidR="008143AA">
        <w:t xml:space="preserve"> disposal </w:t>
      </w:r>
      <w:r w:rsidR="00631613">
        <w:t>of recycled</w:t>
      </w:r>
      <w:r w:rsidR="000A2AF5">
        <w:t xml:space="preserve"> materials, they are not included in the totals. </w:t>
      </w:r>
      <w:r w:rsidR="007247C5">
        <w:t xml:space="preserve"> </w:t>
      </w:r>
    </w:p>
    <w:p w14:paraId="2283ECCC" w14:textId="08EE9E2C" w:rsidR="001C2FBB" w:rsidRDefault="007247C5" w:rsidP="001C2FBB">
      <w:pPr>
        <w:pStyle w:val="ParaText"/>
      </w:pPr>
      <w:r>
        <w:t xml:space="preserve">In 2012, </w:t>
      </w:r>
      <w:r w:rsidR="001C2FBB">
        <w:t xml:space="preserve">the contractor for municipal services was Waste Management Inc., however there was a </w:t>
      </w:r>
      <w:proofErr w:type="gramStart"/>
      <w:r w:rsidR="001C2FBB">
        <w:t>period of time</w:t>
      </w:r>
      <w:proofErr w:type="gramEnd"/>
      <w:r w:rsidR="001C2FBB">
        <w:t xml:space="preserve"> </w:t>
      </w:r>
      <w:r w:rsidR="008143AA">
        <w:t xml:space="preserve">during </w:t>
      </w:r>
      <w:r w:rsidR="001C2FBB">
        <w:t xml:space="preserve">that year in which curbside pickup was performed by Republic Services, Inc. The recorded tonnage collected by each of these companies was used to generate the annual tonnage collected by municipal services. </w:t>
      </w:r>
    </w:p>
    <w:p w14:paraId="7261F507" w14:textId="4B847D62" w:rsidR="003D0E59" w:rsidRDefault="001C2FBB" w:rsidP="003D0E59">
      <w:pPr>
        <w:pStyle w:val="ParaText"/>
      </w:pPr>
      <w:r>
        <w:lastRenderedPageBreak/>
        <w:t xml:space="preserve">The amount of MSW collected by private haulers was much more difficult to obtain. </w:t>
      </w:r>
      <w:r w:rsidR="00620427" w:rsidRPr="00D0329D">
        <w:t xml:space="preserve">In the absence of </w:t>
      </w:r>
      <w:r>
        <w:t xml:space="preserve">this </w:t>
      </w:r>
      <w:r w:rsidR="00620427" w:rsidRPr="00D0329D">
        <w:t>information</w:t>
      </w:r>
      <w:r>
        <w:t xml:space="preserve">, MSW production estimates based on square footage of commercial properties </w:t>
      </w:r>
      <w:r w:rsidR="008660A0">
        <w:t xml:space="preserve">needed to be </w:t>
      </w:r>
      <w:r>
        <w:t xml:space="preserve">used </w:t>
      </w:r>
      <w:r w:rsidR="003D0E59">
        <w:t xml:space="preserve">to </w:t>
      </w:r>
      <w:r>
        <w:t xml:space="preserve">estimate the amount </w:t>
      </w:r>
      <w:r w:rsidR="003D0E59">
        <w:t xml:space="preserve">of MSW </w:t>
      </w:r>
      <w:r>
        <w:t xml:space="preserve">collected. </w:t>
      </w:r>
      <w:r w:rsidR="008660A0">
        <w:t>T</w:t>
      </w:r>
      <w:r>
        <w:t>here is very limited industry data available on the amount of waste produced by commercial properties</w:t>
      </w:r>
      <w:r w:rsidR="008660A0">
        <w:t xml:space="preserve"> </w:t>
      </w:r>
      <w:r w:rsidR="008143AA">
        <w:t xml:space="preserve">on a square footage basis, </w:t>
      </w:r>
      <w:r w:rsidR="003D0E59">
        <w:t>so fo</w:t>
      </w:r>
      <w:r w:rsidR="008660A0">
        <w:t xml:space="preserve">r this </w:t>
      </w:r>
      <w:r w:rsidR="003D0E59">
        <w:t>assessment</w:t>
      </w:r>
      <w:r w:rsidR="008660A0">
        <w:t xml:space="preserve">, a </w:t>
      </w:r>
      <w:r w:rsidR="00512396">
        <w:t xml:space="preserve">commercial facilities waste </w:t>
      </w:r>
      <w:r w:rsidR="008660A0">
        <w:t xml:space="preserve">generation factor </w:t>
      </w:r>
      <w:r w:rsidR="00D274CF">
        <w:t>developed by the County of Los Angeles Department of Regional Planning</w:t>
      </w:r>
      <w:r w:rsidR="00D274CF" w:rsidRPr="000A47ED">
        <w:rPr>
          <w:rStyle w:val="FootnoteReference"/>
          <w:sz w:val="18"/>
          <w:szCs w:val="18"/>
        </w:rPr>
        <w:footnoteReference w:id="17"/>
      </w:r>
      <w:r w:rsidR="008660A0">
        <w:t xml:space="preserve">of 0.005 </w:t>
      </w:r>
      <w:proofErr w:type="spellStart"/>
      <w:r w:rsidR="008660A0">
        <w:t>lbs</w:t>
      </w:r>
      <w:proofErr w:type="spellEnd"/>
      <w:r w:rsidR="008660A0">
        <w:t xml:space="preserve">/sf/day </w:t>
      </w:r>
      <w:r w:rsidR="00512396">
        <w:t xml:space="preserve">was </w:t>
      </w:r>
      <w:r w:rsidR="00D274CF">
        <w:t>used. The total square footage of commercial properties</w:t>
      </w:r>
      <w:r w:rsidR="008143AA">
        <w:t xml:space="preserve"> was estimated b</w:t>
      </w:r>
      <w:r w:rsidR="001F3CA5">
        <w:t xml:space="preserve">ased on the known approximate total square feet of buildings in Cambridge (~127,000,000 sf), and the total square footage of buildings </w:t>
      </w:r>
      <w:r w:rsidR="009125F4">
        <w:t xml:space="preserve">over 50,000, which are </w:t>
      </w:r>
      <w:r w:rsidR="001F3CA5">
        <w:t xml:space="preserve">covered by the Building Energy Use Disclosure Ordinance reported data </w:t>
      </w:r>
      <w:r w:rsidR="009125F4">
        <w:t xml:space="preserve">and are unlikely to be serviced by DPW </w:t>
      </w:r>
      <w:r w:rsidR="001F3CA5">
        <w:t xml:space="preserve">(73,541,605 sf). </w:t>
      </w:r>
      <w:r w:rsidR="00185DA2">
        <w:t xml:space="preserve">The amount of waste that is estimated to be handled by haulers was calculated to be 67,107 short tons per year. </w:t>
      </w:r>
    </w:p>
    <w:p w14:paraId="3C0B6856" w14:textId="350EE7B3" w:rsidR="00620427" w:rsidRPr="00D0329D" w:rsidRDefault="00185DA2" w:rsidP="003D0E59">
      <w:pPr>
        <w:pStyle w:val="ParaText"/>
      </w:pPr>
      <w:r>
        <w:t>On average, ~65% of MSW in Massachusetts is diverted to combustion facilities. This data is based on the Massachusetts Department of Environmental Protection (</w:t>
      </w:r>
      <w:r w:rsidRPr="00185DA2">
        <w:t>MA DEP</w:t>
      </w:r>
      <w:r>
        <w:t>)</w:t>
      </w:r>
      <w:r w:rsidRPr="00185DA2">
        <w:t xml:space="preserve"> 2014 Solid Waste Update</w:t>
      </w:r>
      <w:r w:rsidR="00036BC0">
        <w:t xml:space="preserve">. </w:t>
      </w:r>
      <w:r w:rsidRPr="00185DA2">
        <w:t xml:space="preserve">Cambridge-specific data on </w:t>
      </w:r>
      <w:r w:rsidR="00036BC0" w:rsidRPr="00185DA2">
        <w:t>percent</w:t>
      </w:r>
      <w:r w:rsidRPr="00185DA2">
        <w:t xml:space="preserve"> of waste landfilled vs. combusted was not available</w:t>
      </w:r>
      <w:r w:rsidR="00036BC0">
        <w:t xml:space="preserve">. </w:t>
      </w:r>
      <w:r w:rsidR="00036BC0" w:rsidRPr="00036BC0">
        <w:t xml:space="preserve">In Massachusetts, the incinerated waste is used to produce electricity. Emissions generated </w:t>
      </w:r>
      <w:proofErr w:type="gramStart"/>
      <w:r w:rsidR="00036BC0" w:rsidRPr="00036BC0">
        <w:t>as a result of</w:t>
      </w:r>
      <w:proofErr w:type="gramEnd"/>
      <w:r w:rsidR="00036BC0" w:rsidRPr="00036BC0">
        <w:t xml:space="preserve"> incineration out of city boundaries is considered Scope 3 emissions.  </w:t>
      </w:r>
      <w:proofErr w:type="gramStart"/>
      <w:r w:rsidR="00036BC0" w:rsidRPr="00036BC0">
        <w:t>According to</w:t>
      </w:r>
      <w:proofErr w:type="gramEnd"/>
      <w:r w:rsidR="00036BC0" w:rsidRPr="00036BC0">
        <w:t xml:space="preserve"> the GPC waste to generate energy is considered a stationary energy source</w:t>
      </w:r>
      <w:r w:rsidR="00036BC0">
        <w:t xml:space="preserve">, but </w:t>
      </w:r>
      <w:r w:rsidR="00631613">
        <w:t>b</w:t>
      </w:r>
      <w:r w:rsidR="00631613" w:rsidRPr="00036BC0">
        <w:t>ecause</w:t>
      </w:r>
      <w:r w:rsidR="00036BC0" w:rsidRPr="00036BC0">
        <w:t xml:space="preserve"> this is a stationary energy source outside the city boundary it was not included in the inventory.</w:t>
      </w:r>
      <w:r w:rsidR="009125F4">
        <w:t xml:space="preserve"> Some portion of emissions from waste to energy are allocated to Cambridge through the regional electricity emissions factor. </w:t>
      </w:r>
    </w:p>
    <w:p w14:paraId="3C0B6857" w14:textId="77777777" w:rsidR="00620427" w:rsidRPr="00620427" w:rsidRDefault="00620427" w:rsidP="00620427">
      <w:pPr>
        <w:pStyle w:val="ParaText"/>
        <w:rPr>
          <w:b/>
          <w:bCs/>
        </w:rPr>
      </w:pPr>
      <w:r w:rsidRPr="00620427">
        <w:rPr>
          <w:b/>
          <w:bCs/>
        </w:rPr>
        <w:t>GPC Quantification Method Used</w:t>
      </w:r>
    </w:p>
    <w:p w14:paraId="6247435C" w14:textId="18F68FEE" w:rsidR="00036BC0" w:rsidRDefault="00620427" w:rsidP="00036BC0">
      <w:pPr>
        <w:pStyle w:val="ParaText"/>
      </w:pPr>
      <w:r w:rsidRPr="00D0329D">
        <w:t>GHG gas emissions associated with solid waste disposal are carbon dioxide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sidRPr="00D0329D">
        <w:t>), methane (</w:t>
      </w: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oMath>
      <w:r w:rsidRPr="00D0329D">
        <w:t>), and nitrous oxide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m:t>
        </m:r>
      </m:oMath>
      <w:r w:rsidRPr="00D0329D">
        <w:t xml:space="preserve">). </w:t>
      </w:r>
      <w:r w:rsidR="00036BC0">
        <w:t xml:space="preserve">For waste sent to landfill, methane emissions were calculated using equations 8.1, 8.3, and 8.4 of the Global GHG Protocol as well as emission factors from Table 8.5.  Equation 8.3 is used to calculate total methane (CH4) emissions. This is known as the Methane Commitment Model. Alternatively, a First Order of Decay method can be used but requires historical waste disposal data and this information was not available for years prior to 2012.  </w:t>
      </w:r>
    </w:p>
    <w:p w14:paraId="2428042A" w14:textId="6CF8B7B7" w:rsidR="00036BC0" w:rsidRDefault="00036BC0" w:rsidP="00036BC0">
      <w:pPr>
        <w:pStyle w:val="ParaText"/>
      </w:pPr>
      <w:r>
        <w:t>In general, waste disposal amounts that were provided by the Cambridge Department of Public Works. were summed, and then multiplied by emission factors in the Global GHG Protocol to determine total emissions from landfill disposed waste.</w:t>
      </w:r>
    </w:p>
    <w:p w14:paraId="2522385A" w14:textId="47E35BE5" w:rsidR="00036BC0" w:rsidRDefault="00036BC0" w:rsidP="00620427">
      <w:pPr>
        <w:pStyle w:val="ParaText"/>
      </w:pPr>
      <w:r w:rsidRPr="00036BC0">
        <w:t xml:space="preserve">GHG emissions from incineration of MSW are calculated using equation 8.6, 8.7 &amp; 8.8 of the Global GHG Protocol as well as emission factors from Tables 8.4, 8.5, and 8.6. In general, the mass of incinerated waste in total and each fraction of matter type </w:t>
      </w:r>
      <w:proofErr w:type="spellStart"/>
      <w:r w:rsidRPr="00036BC0">
        <w:t>i</w:t>
      </w:r>
      <w:proofErr w:type="spellEnd"/>
      <w:r w:rsidRPr="00036BC0">
        <w:t xml:space="preserve"> (paper, textiles, food, etc.) are used to </w:t>
      </w:r>
      <w:r w:rsidRPr="00036BC0">
        <w:lastRenderedPageBreak/>
        <w:t>determine the emissions. The quantities for CO2, CH4 and NO2 are summed, and then multiplied by the mass to calculate the total emissions from incinerated waste.</w:t>
      </w:r>
    </w:p>
    <w:p w14:paraId="3C0B6861" w14:textId="77777777" w:rsidR="00620427" w:rsidRPr="00765B56" w:rsidRDefault="00620427" w:rsidP="00D42A1E">
      <w:pPr>
        <w:pStyle w:val="ParaText"/>
        <w:rPr>
          <w:b/>
          <w:bCs/>
        </w:rPr>
      </w:pPr>
      <w:r w:rsidRPr="00765B56">
        <w:rPr>
          <w:b/>
          <w:bCs/>
        </w:rPr>
        <w:t>Emissions Factors Used</w:t>
      </w:r>
    </w:p>
    <w:p w14:paraId="3C0B6862" w14:textId="059D2B64" w:rsidR="00620427" w:rsidRDefault="00A10576" w:rsidP="00620427">
      <w:pPr>
        <w:pStyle w:val="ParaText"/>
      </w:pPr>
      <w:r>
        <w:t xml:space="preserve">For waste sent to landfill, equations 8.1, 8.3 and 8.4 require the user to input values for each variable based on the characteristics of the waste and landfill. For equation 8.1, </w:t>
      </w:r>
      <w:r w:rsidR="00765B56">
        <w:t xml:space="preserve">Degradable organic carbon (DOC) is calculated based on the proportion of certain types of waste (e.g. </w:t>
      </w:r>
      <w:r w:rsidR="00631613">
        <w:t>food, paper</w:t>
      </w:r>
      <w:r w:rsidR="00765B56">
        <w:t xml:space="preserve">, wood, etc.) in the waste stream. For this </w:t>
      </w:r>
      <w:r w:rsidR="00631613">
        <w:t>inventory,</w:t>
      </w:r>
      <w:r w:rsidR="00765B56">
        <w:t xml:space="preserve"> we used DPW Waste Categories from the report “What’s in Weekly Household Trash”, to determine the characteristics. Because the categories in the DPW report don’t match consistently with the GPC categories, the following assumptions were made:</w:t>
      </w:r>
    </w:p>
    <w:p w14:paraId="535943FA" w14:textId="71D750EF" w:rsidR="00765B56" w:rsidRDefault="00765B56" w:rsidP="00765B56">
      <w:pPr>
        <w:pStyle w:val="ParaText"/>
        <w:numPr>
          <w:ilvl w:val="0"/>
          <w:numId w:val="16"/>
        </w:numPr>
      </w:pPr>
      <w:r>
        <w:t xml:space="preserve">All waste categorized as "Organics (primarily food waste" in the DPW report was placed in the "Food Waste" category for Equation 8.1. None of the "Organics (primarily food waste" in the DPW report was placed in the "Garden Waste and Plant Debris" category for Equation 8.1 </w:t>
      </w:r>
    </w:p>
    <w:p w14:paraId="493E6B8A" w14:textId="48B624F2" w:rsidR="00765B56" w:rsidRDefault="00765B56" w:rsidP="00765B56">
      <w:pPr>
        <w:pStyle w:val="ParaText"/>
        <w:numPr>
          <w:ilvl w:val="0"/>
          <w:numId w:val="16"/>
        </w:numPr>
      </w:pPr>
      <w:r>
        <w:t>All waste categorized as "Items That Could Be Recycled Curbside" and "Other Trash" in the DPW report was placed in the "Paper" category for Equation 8.1.</w:t>
      </w:r>
    </w:p>
    <w:p w14:paraId="5DBB80FF" w14:textId="40B11020" w:rsidR="00765B56" w:rsidRDefault="00765B56" w:rsidP="00765B56">
      <w:pPr>
        <w:pStyle w:val="ParaText"/>
        <w:numPr>
          <w:ilvl w:val="0"/>
          <w:numId w:val="16"/>
        </w:numPr>
      </w:pPr>
      <w:r>
        <w:t xml:space="preserve">All waste categorized as "Construction &amp; </w:t>
      </w:r>
      <w:r w:rsidR="00631613">
        <w:t>Demolition</w:t>
      </w:r>
      <w:r>
        <w:t xml:space="preserve"> Debris" in the DPW report was placed in the "Wood" category for Equation 8.1</w:t>
      </w:r>
    </w:p>
    <w:p w14:paraId="35BCCF07" w14:textId="77777777" w:rsidR="00765B56" w:rsidRDefault="00765B56" w:rsidP="00765B56">
      <w:pPr>
        <w:pStyle w:val="ParaText"/>
        <w:numPr>
          <w:ilvl w:val="0"/>
          <w:numId w:val="16"/>
        </w:numPr>
      </w:pPr>
      <w:r>
        <w:t xml:space="preserve">All waste categorized as "Household Hazardous Waste" in the DPW report was placed in the "Industrial Waste" category for Equation 8.1. </w:t>
      </w:r>
    </w:p>
    <w:p w14:paraId="49D8754A" w14:textId="6ECA5539" w:rsidR="00765B56" w:rsidRDefault="00765B56" w:rsidP="00765B56">
      <w:pPr>
        <w:pStyle w:val="ParaText"/>
      </w:pPr>
      <w:r>
        <w:t>Equation 8.3 calculates the CH4 emissions based on the mass of solid waste sent to landfill (MSW), the methane generation potential (Lo), the fraction of methane recovered from the landfill(</w:t>
      </w:r>
      <w:proofErr w:type="spellStart"/>
      <w:r>
        <w:t>f</w:t>
      </w:r>
      <w:r w:rsidRPr="00765B56">
        <w:rPr>
          <w:vertAlign w:val="subscript"/>
        </w:rPr>
        <w:t>rec</w:t>
      </w:r>
      <w:proofErr w:type="spellEnd"/>
      <w:r>
        <w:t xml:space="preserve">), and the oxidation factor (OX). For this inventory, </w:t>
      </w:r>
      <w:r w:rsidR="00DC2318">
        <w:t>t</w:t>
      </w:r>
      <w:r>
        <w:t>he Fraction of Methane Recovered in Landfill was assumed to be 0</w:t>
      </w:r>
      <w:r w:rsidR="00DC2318">
        <w:t>.0</w:t>
      </w:r>
      <w:r>
        <w:t xml:space="preserve"> because it </w:t>
      </w:r>
      <w:r w:rsidR="00DC2318">
        <w:t>could not</w:t>
      </w:r>
      <w:r>
        <w:t xml:space="preserve"> be determined which landfills Cambridge waste </w:t>
      </w:r>
      <w:r w:rsidR="00DC2318">
        <w:t>was sent to, and a</w:t>
      </w:r>
      <w:r>
        <w:t xml:space="preserve">n Oxidation Factor of 0.1 was selected because </w:t>
      </w:r>
      <w:r w:rsidR="00DC2318">
        <w:t xml:space="preserve">we could say that </w:t>
      </w:r>
      <w:proofErr w:type="gramStart"/>
      <w:r w:rsidR="00DC2318">
        <w:t>in all likelihood</w:t>
      </w:r>
      <w:proofErr w:type="gramEnd"/>
      <w:r w:rsidR="00DC2318">
        <w:t xml:space="preserve">, </w:t>
      </w:r>
      <w:r>
        <w:t>the landfills Cambridge sends waste to are managed</w:t>
      </w:r>
      <w:r w:rsidR="00DC2318">
        <w:t xml:space="preserve">. These are in accordance with GPC values. The methane generation potential (Lo) is calculated as part of equation 8.4. </w:t>
      </w:r>
    </w:p>
    <w:p w14:paraId="55A2ACCB" w14:textId="77777777" w:rsidR="00DC2318" w:rsidRDefault="00DC2318" w:rsidP="00765B56">
      <w:pPr>
        <w:pStyle w:val="ParaText"/>
      </w:pPr>
      <w:r>
        <w:t>The methane generation potential is calculated based on a methane correction factor (MCF), the DOC calculated as part of equation 8.1, the fraction of DOC degraded (</w:t>
      </w:r>
      <w:proofErr w:type="spellStart"/>
      <w:r>
        <w:t>DOCf</w:t>
      </w:r>
      <w:proofErr w:type="spellEnd"/>
      <w:r>
        <w:t>) and the fraction of methane in landfill gas. In accordance with the GPC, the following values were used:</w:t>
      </w:r>
    </w:p>
    <w:p w14:paraId="76C14728" w14:textId="2DD90886" w:rsidR="00DC2318" w:rsidRDefault="00DC2318" w:rsidP="00DC2318">
      <w:pPr>
        <w:pStyle w:val="ParaText"/>
        <w:numPr>
          <w:ilvl w:val="0"/>
          <w:numId w:val="17"/>
        </w:numPr>
      </w:pPr>
      <w:r>
        <w:t>A value of 1.00 was input for Methane Correction Factor (MCF) since landfills waste is sent to are actively managed.</w:t>
      </w:r>
    </w:p>
    <w:p w14:paraId="6FD3B13B" w14:textId="5015F2CD" w:rsidR="00DC2318" w:rsidRDefault="00DC2318" w:rsidP="00DC2318">
      <w:pPr>
        <w:pStyle w:val="ParaText"/>
        <w:numPr>
          <w:ilvl w:val="0"/>
          <w:numId w:val="17"/>
        </w:numPr>
      </w:pPr>
      <w:r>
        <w:lastRenderedPageBreak/>
        <w:t>A default value of 0.6 was input for Fraction of Degradable Organic Carbon Degraded (</w:t>
      </w:r>
      <w:proofErr w:type="spellStart"/>
      <w:r>
        <w:t>DOCf</w:t>
      </w:r>
      <w:proofErr w:type="spellEnd"/>
      <w:r>
        <w:t>).</w:t>
      </w:r>
    </w:p>
    <w:p w14:paraId="27430D43" w14:textId="26850D48" w:rsidR="00DC2318" w:rsidRDefault="00DC2318" w:rsidP="00DC2318">
      <w:pPr>
        <w:pStyle w:val="ParaText"/>
        <w:numPr>
          <w:ilvl w:val="0"/>
          <w:numId w:val="17"/>
        </w:numPr>
      </w:pPr>
      <w:r>
        <w:t xml:space="preserve">A default value 0.5 was input for Fraction of Methane in Landfill Gas (F). </w:t>
      </w:r>
    </w:p>
    <w:p w14:paraId="4485DA1C" w14:textId="5B355DC4" w:rsidR="00DC2318" w:rsidRDefault="00DC2318" w:rsidP="00DC2318">
      <w:pPr>
        <w:pStyle w:val="ParaText"/>
      </w:pPr>
      <w:r>
        <w:t>The default fraction of 16/12 was also used as the input for Stoichiometric Ratio Between Methane and Carbon.</w:t>
      </w:r>
    </w:p>
    <w:p w14:paraId="3C0B6863" w14:textId="77777777" w:rsidR="00620427" w:rsidRDefault="00620427" w:rsidP="00620427">
      <w:pPr>
        <w:pStyle w:val="Heading3"/>
        <w:tabs>
          <w:tab w:val="clear" w:pos="907"/>
          <w:tab w:val="num" w:pos="1080"/>
        </w:tabs>
        <w:spacing w:before="0" w:after="240"/>
        <w:ind w:left="1080" w:hanging="1080"/>
      </w:pPr>
      <w:bookmarkStart w:id="50" w:name="_Toc457892270"/>
      <w:r>
        <w:t>Waste – Wastewater</w:t>
      </w:r>
      <w:bookmarkEnd w:id="50"/>
    </w:p>
    <w:p w14:paraId="3C0B6864" w14:textId="799661E8" w:rsidR="00620427" w:rsidRPr="00D42A1E" w:rsidRDefault="00620427" w:rsidP="00D42A1E">
      <w:pPr>
        <w:pStyle w:val="ParaText"/>
      </w:pPr>
      <w:r w:rsidRPr="00D42A1E">
        <w:t xml:space="preserve">Wastewater in the City is generated by residents, businesses and industrial processes. All </w:t>
      </w:r>
      <w:r w:rsidR="00F9506A" w:rsidRPr="00D42A1E">
        <w:t>wastewater</w:t>
      </w:r>
      <w:r w:rsidRPr="00D42A1E">
        <w:t xml:space="preserve"> produced in the city is directed to the Deer Island Treatment Plant in Winthrop, MA. The Massachusetts Water Resource Authority (MWRA) operates the Deer Island facility and will be the main source of data used to calculate the GHG emissions from wastewater generation in Cambridge. </w:t>
      </w:r>
    </w:p>
    <w:p w14:paraId="39D8E481" w14:textId="77777777" w:rsidR="006F6C45" w:rsidRDefault="006F6C45" w:rsidP="006F6C45">
      <w:pPr>
        <w:pStyle w:val="ParaText"/>
      </w:pPr>
      <w:r>
        <w:t xml:space="preserve">For Deer Island, no methane is released from the treatment process. The facility used 97.3% of its methane in 2012 for heating the digester tanks </w:t>
      </w:r>
      <w:proofErr w:type="gramStart"/>
      <w:r>
        <w:t>according to</w:t>
      </w:r>
      <w:proofErr w:type="gramEnd"/>
      <w:r>
        <w:t xml:space="preserve"> MWRA records. The excess is diverted to a co-generation system where it is used to heat buildings and generate electricity via steam turbine generators. This saves the MWRA approximately $15 million dollars annually in fuel oil costs. Any emissions associated with this process is considered scope 3 and there is no guidance </w:t>
      </w:r>
      <w:proofErr w:type="gramStart"/>
      <w:r>
        <w:t>at this time</w:t>
      </w:r>
      <w:proofErr w:type="gramEnd"/>
      <w:r>
        <w:t xml:space="preserve"> on accounting for the combustion of methane for heat outside the city boundary. </w:t>
      </w:r>
    </w:p>
    <w:p w14:paraId="3C0B6868" w14:textId="20B42464" w:rsidR="00620427" w:rsidRPr="00D42A1E" w:rsidRDefault="006F6C45" w:rsidP="006F6C45">
      <w:pPr>
        <w:pStyle w:val="ParaText"/>
      </w:pPr>
      <w:r>
        <w:t>There are N2O emissions from the wastewater treatment plant that must be accounted for. This N2O in this ca</w:t>
      </w:r>
      <w:r w:rsidR="00B30864">
        <w:t>se is primarily from treated</w:t>
      </w:r>
      <w:r>
        <w:t xml:space="preserve"> effluent </w:t>
      </w:r>
      <w:r w:rsidR="00B30864">
        <w:t xml:space="preserve">being discharged </w:t>
      </w:r>
      <w:r>
        <w:t xml:space="preserve">into the ocean. To determine the amount of N2O emissions, the total population </w:t>
      </w:r>
      <w:r w:rsidR="003832DA">
        <w:t xml:space="preserve">of Cambridge served by the Deer Island Treatment Plant is needed as well as the per capita protein consumption value. For this inventory a value of 34.7 kg/person/day was used based on guidance from </w:t>
      </w:r>
      <w:r w:rsidR="003832DA" w:rsidRPr="003832DA">
        <w:t xml:space="preserve">the </w:t>
      </w:r>
      <w:r w:rsidR="003832DA">
        <w:t xml:space="preserve">U.S. </w:t>
      </w:r>
      <w:r w:rsidR="003832DA" w:rsidRPr="003832DA">
        <w:t>EPA Inventory of U.S. Greenhou</w:t>
      </w:r>
      <w:r w:rsidR="003832DA">
        <w:t>s</w:t>
      </w:r>
      <w:r w:rsidR="003832DA" w:rsidRPr="003832DA">
        <w:t>e Gas Emissions and Sinks: 1990 -2014</w:t>
      </w:r>
      <w:r w:rsidR="003832DA">
        <w:t>.</w:t>
      </w:r>
    </w:p>
    <w:p w14:paraId="3C0B686A" w14:textId="77777777" w:rsidR="00620427" w:rsidRPr="00D42A1E" w:rsidRDefault="00620427" w:rsidP="00D42A1E">
      <w:pPr>
        <w:pStyle w:val="ParaText"/>
        <w:rPr>
          <w:b/>
          <w:bCs/>
        </w:rPr>
      </w:pPr>
      <w:r w:rsidRPr="00D42A1E">
        <w:rPr>
          <w:b/>
          <w:bCs/>
        </w:rPr>
        <w:t>GPC Quantification Method Used</w:t>
      </w:r>
    </w:p>
    <w:p w14:paraId="3A186FF2" w14:textId="66ACCD71" w:rsidR="003832DA" w:rsidRPr="00D42A1E" w:rsidRDefault="006F6C45" w:rsidP="003832DA">
      <w:pPr>
        <w:pStyle w:val="ParaText"/>
      </w:pPr>
      <w:r>
        <w:t xml:space="preserve">For the Cambridge </w:t>
      </w:r>
      <w:r w:rsidR="005F76C3">
        <w:t>C</w:t>
      </w:r>
      <w:r w:rsidR="003832DA">
        <w:t>ommunity-wide</w:t>
      </w:r>
      <w:r>
        <w:t xml:space="preserve"> </w:t>
      </w:r>
      <w:r w:rsidR="005F76C3">
        <w:t>I</w:t>
      </w:r>
      <w:r>
        <w:t xml:space="preserve">nventory, only N2O emissions need to be considered (Equation 8.11). </w:t>
      </w:r>
      <w:r w:rsidR="003832DA" w:rsidRPr="00D42A1E">
        <w:t xml:space="preserve">Key variables </w:t>
      </w:r>
      <w:r w:rsidR="003832DA">
        <w:t>used</w:t>
      </w:r>
      <w:r w:rsidR="003832DA" w:rsidRPr="00D42A1E">
        <w:t xml:space="preserve"> to complete th</w:t>
      </w:r>
      <w:r w:rsidR="003832DA">
        <w:t>is</w:t>
      </w:r>
      <w:r w:rsidR="003832DA" w:rsidRPr="00D42A1E">
        <w:t xml:space="preserve"> equation </w:t>
      </w:r>
      <w:r w:rsidR="00A25879">
        <w:t>can be found in the U.S. EPA Inventory of U.S. Greenhouse Gas Emissions and Sink (1990-2014)</w:t>
      </w:r>
      <w:r w:rsidR="00F83697" w:rsidRPr="000A47ED">
        <w:rPr>
          <w:rStyle w:val="FootnoteReference"/>
          <w:sz w:val="18"/>
          <w:szCs w:val="18"/>
        </w:rPr>
        <w:t xml:space="preserve"> </w:t>
      </w:r>
      <w:r w:rsidR="00F83697" w:rsidRPr="000A47ED">
        <w:rPr>
          <w:rStyle w:val="FootnoteReference"/>
          <w:sz w:val="18"/>
          <w:szCs w:val="18"/>
        </w:rPr>
        <w:footnoteReference w:id="18"/>
      </w:r>
      <w:r w:rsidR="00A25879">
        <w:t xml:space="preserve"> </w:t>
      </w:r>
      <w:r w:rsidR="003832DA" w:rsidRPr="00D42A1E">
        <w:t>includ</w:t>
      </w:r>
      <w:r w:rsidR="00A25879">
        <w:t>ing</w:t>
      </w:r>
      <w:r w:rsidR="003832DA" w:rsidRPr="00D42A1E">
        <w:t>:</w:t>
      </w:r>
    </w:p>
    <w:p w14:paraId="186DBBA6" w14:textId="75DF29C9" w:rsidR="003832DA" w:rsidRDefault="003832DA" w:rsidP="003832DA">
      <w:pPr>
        <w:pStyle w:val="ParaText"/>
        <w:numPr>
          <w:ilvl w:val="0"/>
          <w:numId w:val="9"/>
        </w:numPr>
      </w:pPr>
      <w:r>
        <w:t>Annual per capita protein consumption: 34.7 kg/person/</w:t>
      </w:r>
      <w:proofErr w:type="spellStart"/>
      <w:r>
        <w:t>yr</w:t>
      </w:r>
      <w:proofErr w:type="spellEnd"/>
    </w:p>
    <w:p w14:paraId="54707B4F" w14:textId="3AD6F263" w:rsidR="003832DA" w:rsidRDefault="003832DA" w:rsidP="003832DA">
      <w:pPr>
        <w:pStyle w:val="ParaText"/>
        <w:numPr>
          <w:ilvl w:val="0"/>
          <w:numId w:val="9"/>
        </w:numPr>
      </w:pPr>
      <w:r>
        <w:t>Factor to adjust for non-consumed protein: 1.40</w:t>
      </w:r>
      <w:r w:rsidR="00AA41F8">
        <w:t xml:space="preserve"> (for countries with garbage disposals)</w:t>
      </w:r>
    </w:p>
    <w:p w14:paraId="5D964AA2" w14:textId="64668E72" w:rsidR="003832DA" w:rsidRDefault="003832DA" w:rsidP="003832DA">
      <w:pPr>
        <w:pStyle w:val="ParaText"/>
        <w:numPr>
          <w:ilvl w:val="0"/>
          <w:numId w:val="9"/>
        </w:numPr>
      </w:pPr>
      <w:r>
        <w:lastRenderedPageBreak/>
        <w:t>Fraction of nitrogen in protein: 0.16</w:t>
      </w:r>
    </w:p>
    <w:p w14:paraId="3FFB3C11" w14:textId="6BED62AC" w:rsidR="003832DA" w:rsidRPr="00D42A1E" w:rsidRDefault="003832DA" w:rsidP="003832DA">
      <w:pPr>
        <w:pStyle w:val="ParaText"/>
        <w:numPr>
          <w:ilvl w:val="0"/>
          <w:numId w:val="9"/>
        </w:numPr>
      </w:pPr>
      <w:r>
        <w:t>Factor for industrial and commercial co-discharged protein to sewer system: 1.25</w:t>
      </w:r>
    </w:p>
    <w:p w14:paraId="7F3C44D0" w14:textId="78D21EA9" w:rsidR="003832DA" w:rsidRDefault="003832DA" w:rsidP="003832DA">
      <w:pPr>
        <w:pStyle w:val="ParaText"/>
        <w:numPr>
          <w:ilvl w:val="0"/>
          <w:numId w:val="9"/>
        </w:numPr>
      </w:pPr>
      <w:r w:rsidRPr="00D42A1E">
        <w:t xml:space="preserve">Nitrogen removed </w:t>
      </w:r>
      <w:r w:rsidR="0051307E">
        <w:t>from</w:t>
      </w:r>
      <w:r w:rsidRPr="00D42A1E">
        <w:t xml:space="preserve"> sludge</w:t>
      </w:r>
      <w:r w:rsidR="0051307E">
        <w:t>: 0.0 kg/year</w:t>
      </w:r>
      <w:r w:rsidR="00AA41F8">
        <w:t xml:space="preserve"> (default value)</w:t>
      </w:r>
    </w:p>
    <w:p w14:paraId="1FC0A8A2" w14:textId="46661B6E" w:rsidR="0051307E" w:rsidRDefault="0051307E" w:rsidP="003832DA">
      <w:pPr>
        <w:pStyle w:val="ParaText"/>
        <w:numPr>
          <w:ilvl w:val="0"/>
          <w:numId w:val="9"/>
        </w:numPr>
      </w:pPr>
      <w:r>
        <w:t>Emissions factor for N2O from discharged wastewater: 0.005 kg N2O-N/kg N2O</w:t>
      </w:r>
      <w:r w:rsidR="00AA41F8">
        <w:t xml:space="preserve"> (default value)</w:t>
      </w:r>
    </w:p>
    <w:p w14:paraId="20FE92F0" w14:textId="679262AD" w:rsidR="0051307E" w:rsidRDefault="0051307E" w:rsidP="003832DA">
      <w:pPr>
        <w:pStyle w:val="ParaText"/>
        <w:numPr>
          <w:ilvl w:val="0"/>
          <w:numId w:val="9"/>
        </w:numPr>
      </w:pPr>
      <w:r>
        <w:t>Conversion of kg N2O-N into kg of N2O: 1.57</w:t>
      </w:r>
    </w:p>
    <w:p w14:paraId="3C0B6877" w14:textId="15CA50A2" w:rsidR="00620427" w:rsidRPr="00D42A1E" w:rsidRDefault="009125F4" w:rsidP="00D42A1E">
      <w:pPr>
        <w:pStyle w:val="ParaText"/>
      </w:pPr>
      <w:r>
        <w:t xml:space="preserve">Seem like the part about subtracting electricity from buildings and re-allocating to </w:t>
      </w:r>
      <w:r w:rsidR="00327D1C">
        <w:t>transportation</w:t>
      </w:r>
      <w:r>
        <w:t xml:space="preserve"> (for the 2 EVs in the MAVC is not covered here. </w:t>
      </w:r>
    </w:p>
    <w:p w14:paraId="3C0B6878" w14:textId="3FDBBAD7" w:rsidR="00443430" w:rsidRDefault="00443430" w:rsidP="00443430">
      <w:pPr>
        <w:pStyle w:val="Heading2"/>
        <w:tabs>
          <w:tab w:val="clear" w:pos="1490"/>
          <w:tab w:val="num" w:pos="1080"/>
        </w:tabs>
        <w:spacing w:before="240" w:after="120"/>
        <w:ind w:left="1080" w:hanging="1080"/>
      </w:pPr>
      <w:bookmarkStart w:id="51" w:name="_Toc457892271"/>
      <w:r>
        <w:t>Forecasting Methodology</w:t>
      </w:r>
      <w:bookmarkEnd w:id="51"/>
    </w:p>
    <w:p w14:paraId="05DD2B9C" w14:textId="4BE07D00" w:rsidR="009E3E19" w:rsidRDefault="009E3E19" w:rsidP="009E3E19">
      <w:pPr>
        <w:pStyle w:val="BodyText"/>
      </w:pPr>
    </w:p>
    <w:p w14:paraId="39D56DC2" w14:textId="6FACEA29" w:rsidR="009E3E19" w:rsidRPr="009E3E19" w:rsidRDefault="009E3E19" w:rsidP="009E3E19">
      <w:pPr>
        <w:pStyle w:val="Heading3"/>
      </w:pPr>
      <w:r>
        <w:t>“Business as Usual” Emissions Forecast</w:t>
      </w:r>
    </w:p>
    <w:p w14:paraId="5A2EA821" w14:textId="231C523C" w:rsidR="00197484" w:rsidRDefault="00197484" w:rsidP="00197484">
      <w:pPr>
        <w:pStyle w:val="ParaText"/>
      </w:pPr>
      <w:r>
        <w:t xml:space="preserve">The emissions forecast represents a “business-as-usual” (BAU) </w:t>
      </w:r>
      <w:r w:rsidR="006544FB">
        <w:t>calculation</w:t>
      </w:r>
      <w:r>
        <w:t xml:space="preserve"> of how GHG emissions would grow in the absence of policies aimed at reducing GHG emissions. Conducting an emissions forecast is an essential step in developing strategies to reduce GHG emissions, because one must compare future </w:t>
      </w:r>
      <w:r w:rsidR="006544FB">
        <w:t xml:space="preserve">potential </w:t>
      </w:r>
      <w:r>
        <w:t xml:space="preserve">reductions </w:t>
      </w:r>
      <w:r w:rsidR="008D07FE">
        <w:t xml:space="preserve">in emissions </w:t>
      </w:r>
      <w:r>
        <w:t xml:space="preserve">with </w:t>
      </w:r>
      <w:r w:rsidR="006544FB">
        <w:t>projected</w:t>
      </w:r>
      <w:r>
        <w:t xml:space="preserve"> emissions levels to </w:t>
      </w:r>
      <w:r w:rsidR="006544FB">
        <w:t>determine</w:t>
      </w:r>
      <w:r>
        <w:t xml:space="preserve"> whether a specific target level of reduction will be achieved</w:t>
      </w:r>
      <w:r w:rsidR="008D07FE">
        <w:t xml:space="preserve"> by a </w:t>
      </w:r>
      <w:proofErr w:type="gramStart"/>
      <w:r w:rsidR="008D07FE">
        <w:t>particular year</w:t>
      </w:r>
      <w:proofErr w:type="gramEnd"/>
      <w:r>
        <w:t xml:space="preserve">. </w:t>
      </w:r>
    </w:p>
    <w:p w14:paraId="3E2A8E57" w14:textId="32096557" w:rsidR="00596094" w:rsidRDefault="005F76C3" w:rsidP="00596094">
      <w:pPr>
        <w:pStyle w:val="ParaText"/>
      </w:pPr>
      <w:r>
        <w:t xml:space="preserve">The 2012 </w:t>
      </w:r>
      <w:r w:rsidR="003F3701">
        <w:t>Cambridge Community</w:t>
      </w:r>
      <w:r>
        <w:t>-wide</w:t>
      </w:r>
      <w:r w:rsidR="003F3701">
        <w:t xml:space="preserve"> Inventory was used as the baseline for emissions forecasting. Forecasts years of 2030, 2040 and 2050 were </w:t>
      </w:r>
      <w:r w:rsidR="00197484">
        <w:t>selected</w:t>
      </w:r>
      <w:r w:rsidR="00FC6C9E">
        <w:t xml:space="preserve"> based on other city goals and initiatives underway</w:t>
      </w:r>
      <w:r w:rsidR="003F3701">
        <w:t xml:space="preserve">. The 2030 forecast time horizon aligns with the time horizons of both </w:t>
      </w:r>
      <w:r w:rsidR="008D07FE">
        <w:t>the</w:t>
      </w:r>
      <w:r w:rsidR="003F3701">
        <w:t xml:space="preserve"> Cambridge Climate Vulnerability Assessment goals and Envision Cambridge. The 2050 forecast time horizon aligns both with the time horizon of the </w:t>
      </w:r>
      <w:r w:rsidR="009F1CFE">
        <w:t>city’s commitment</w:t>
      </w:r>
      <w:r w:rsidR="003F3701">
        <w:t xml:space="preserve"> and the State’s goal of an 80% reduction in GHG emissions by 2050. The 2040 forecast time horizon</w:t>
      </w:r>
      <w:r w:rsidR="00FC6C9E">
        <w:t xml:space="preserve"> will </w:t>
      </w:r>
      <w:r w:rsidR="003F3701">
        <w:t xml:space="preserve">serve as an interim year </w:t>
      </w:r>
      <w:r w:rsidR="00FC6C9E">
        <w:t xml:space="preserve">to </w:t>
      </w:r>
      <w:r w:rsidR="003F3701">
        <w:t xml:space="preserve">assist the City in measuring progress between the 2030 and 2050 targets. </w:t>
      </w:r>
      <w:r w:rsidR="00596094" w:rsidRPr="00B3746E">
        <w:rPr>
          <w:sz w:val="24"/>
        </w:rPr>
        <w:fldChar w:fldCharType="begin"/>
      </w:r>
      <w:r w:rsidR="00596094" w:rsidRPr="00B3746E">
        <w:rPr>
          <w:sz w:val="24"/>
        </w:rPr>
        <w:instrText xml:space="preserve"> REF _Ref473019359 \h </w:instrText>
      </w:r>
      <w:r w:rsidR="00B3746E">
        <w:rPr>
          <w:sz w:val="24"/>
        </w:rPr>
        <w:instrText xml:space="preserve"> \* MERGEFORMAT </w:instrText>
      </w:r>
      <w:r w:rsidR="00596094" w:rsidRPr="00B3746E">
        <w:rPr>
          <w:sz w:val="24"/>
        </w:rPr>
      </w:r>
      <w:r w:rsidR="00596094" w:rsidRPr="00B3746E">
        <w:rPr>
          <w:sz w:val="24"/>
        </w:rPr>
        <w:fldChar w:fldCharType="separate"/>
      </w:r>
      <w:r w:rsidR="00631613" w:rsidRPr="00B3746E">
        <w:t xml:space="preserve">Figure </w:t>
      </w:r>
      <w:r w:rsidR="00631613" w:rsidRPr="00B3746E">
        <w:rPr>
          <w:noProof/>
        </w:rPr>
        <w:t>2</w:t>
      </w:r>
      <w:r w:rsidR="00596094" w:rsidRPr="00B3746E">
        <w:rPr>
          <w:sz w:val="24"/>
        </w:rPr>
        <w:fldChar w:fldCharType="end"/>
      </w:r>
      <w:r w:rsidR="00596094">
        <w:t xml:space="preserve"> summarizes the BAU forecast for the City out to the selected forecast years of 2030, 2040 and 2050. </w:t>
      </w:r>
    </w:p>
    <w:p w14:paraId="05B66003" w14:textId="79BA27B7" w:rsidR="00FC6C9E" w:rsidRPr="00867E62" w:rsidRDefault="00596094" w:rsidP="00596094">
      <w:pPr>
        <w:pStyle w:val="Caption"/>
        <w:rPr>
          <w:sz w:val="20"/>
        </w:rPr>
      </w:pPr>
      <w:bookmarkStart w:id="52" w:name="_Ref473019359"/>
      <w:r w:rsidRPr="00867E62">
        <w:rPr>
          <w:sz w:val="20"/>
        </w:rPr>
        <w:lastRenderedPageBreak/>
        <w:t xml:space="preserve">Figure </w:t>
      </w:r>
      <w:r w:rsidRPr="00867E62">
        <w:rPr>
          <w:sz w:val="20"/>
        </w:rPr>
        <w:fldChar w:fldCharType="begin"/>
      </w:r>
      <w:r w:rsidRPr="00867E62">
        <w:rPr>
          <w:sz w:val="20"/>
        </w:rPr>
        <w:instrText xml:space="preserve"> SEQ Figure \* ARABIC </w:instrText>
      </w:r>
      <w:r w:rsidRPr="00867E62">
        <w:rPr>
          <w:sz w:val="20"/>
        </w:rPr>
        <w:fldChar w:fldCharType="separate"/>
      </w:r>
      <w:r w:rsidR="00631613">
        <w:rPr>
          <w:noProof/>
          <w:sz w:val="20"/>
        </w:rPr>
        <w:t>2</w:t>
      </w:r>
      <w:r w:rsidRPr="00867E62">
        <w:rPr>
          <w:sz w:val="20"/>
        </w:rPr>
        <w:fldChar w:fldCharType="end"/>
      </w:r>
      <w:bookmarkEnd w:id="52"/>
      <w:r w:rsidR="008D07FE">
        <w:rPr>
          <w:sz w:val="20"/>
        </w:rPr>
        <w:t>:</w:t>
      </w:r>
      <w:r w:rsidRPr="00867E62">
        <w:rPr>
          <w:sz w:val="20"/>
        </w:rPr>
        <w:t xml:space="preserve"> Forecasted Business-as-usual Emissions for 2030, 2040, 2050</w:t>
      </w:r>
    </w:p>
    <w:p w14:paraId="3C70AC16" w14:textId="4EED9699" w:rsidR="00596094" w:rsidRDefault="008D07FE" w:rsidP="00596094">
      <w:pPr>
        <w:pStyle w:val="Caption"/>
      </w:pPr>
      <w:r w:rsidRPr="007E301B">
        <w:rPr>
          <w:noProof/>
          <w:shd w:val="clear" w:color="auto" w:fill="000000" w:themeFill="text1"/>
          <w:lang w:eastAsia="en-US"/>
        </w:rPr>
        <w:drawing>
          <wp:inline distT="0" distB="0" distL="0" distR="0" wp14:anchorId="0BB75755" wp14:editId="51B5B671">
            <wp:extent cx="5943600" cy="3722370"/>
            <wp:effectExtent l="0" t="0" r="0" b="0"/>
            <wp:docPr id="1" name="Chart 1">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63400B" w14:textId="77777777" w:rsidR="004537D3" w:rsidRPr="004537D3" w:rsidRDefault="00AF1FD4" w:rsidP="004537D3">
      <w:pPr>
        <w:pStyle w:val="ParaText"/>
        <w:rPr>
          <w:sz w:val="24"/>
        </w:rPr>
      </w:pPr>
      <w:r>
        <w:t>To</w:t>
      </w:r>
      <w:r w:rsidR="00197484">
        <w:t xml:space="preserve"> predict BAU growth in emissions, the compound annual growth rate in select demographics were used as proxies for the growth rate in corresponding emissions inventory subsectors. For example, the annual growth rate in Cambridge’s population from 2012 to 2030 was </w:t>
      </w:r>
      <w:r w:rsidR="00C26E42">
        <w:t xml:space="preserve">used </w:t>
      </w:r>
      <w:r w:rsidR="00197484">
        <w:t xml:space="preserve">as the anticipated BAU </w:t>
      </w:r>
      <w:r w:rsidR="00C26E42">
        <w:t xml:space="preserve">emissions </w:t>
      </w:r>
      <w:r w:rsidR="00197484">
        <w:t xml:space="preserve">growth rate in the “Residential Buildings” subsector. </w:t>
      </w:r>
      <w:r w:rsidR="00C26E42">
        <w:t>Population, jobs and household</w:t>
      </w:r>
      <w:r w:rsidR="00F96997">
        <w:t xml:space="preserve"> forecasts from MAPC’s Boston Region Long Range Transportation Plan Projections (BRLRTPP) were used to project Cambridge community-scale emissions </w:t>
      </w:r>
      <w:r w:rsidR="00197484">
        <w:t xml:space="preserve">by subsector. </w:t>
      </w:r>
      <w:r w:rsidR="005E14DF" w:rsidRPr="004537D3">
        <w:rPr>
          <w:sz w:val="24"/>
        </w:rPr>
        <w:fldChar w:fldCharType="begin"/>
      </w:r>
      <w:r w:rsidR="005E14DF" w:rsidRPr="004537D3">
        <w:rPr>
          <w:sz w:val="24"/>
        </w:rPr>
        <w:instrText xml:space="preserve"> REF _Ref471805514 \h </w:instrText>
      </w:r>
      <w:r w:rsidR="001C70FC" w:rsidRPr="004537D3">
        <w:rPr>
          <w:sz w:val="24"/>
        </w:rPr>
        <w:instrText xml:space="preserve"> \* MERGEFORMAT </w:instrText>
      </w:r>
      <w:r w:rsidR="005E14DF" w:rsidRPr="004537D3">
        <w:rPr>
          <w:sz w:val="24"/>
        </w:rPr>
      </w:r>
      <w:r w:rsidR="005E14DF" w:rsidRPr="004537D3">
        <w:rPr>
          <w:sz w:val="24"/>
        </w:rPr>
        <w:fldChar w:fldCharType="separate"/>
      </w:r>
      <w:r w:rsidR="004537D3" w:rsidRPr="004537D3">
        <w:rPr>
          <w:sz w:val="24"/>
        </w:rPr>
        <w:br w:type="page"/>
      </w:r>
    </w:p>
    <w:p w14:paraId="1A1E56DA" w14:textId="0ED8915A" w:rsidR="00C8101E" w:rsidRDefault="004537D3" w:rsidP="004537D3">
      <w:pPr>
        <w:pStyle w:val="ParaText"/>
        <w:rPr>
          <w:rFonts w:ascii="Arial" w:hAnsi="Arial" w:cs="Arial"/>
          <w:b/>
          <w:bCs/>
          <w:sz w:val="20"/>
        </w:rPr>
      </w:pPr>
      <w:r w:rsidRPr="004537D3">
        <w:rPr>
          <w:noProof/>
          <w:sz w:val="24"/>
        </w:rPr>
        <w:lastRenderedPageBreak/>
        <w:t>Table</w:t>
      </w:r>
      <w:r w:rsidRPr="004537D3">
        <w:t xml:space="preserve"> </w:t>
      </w:r>
      <w:r w:rsidRPr="004537D3">
        <w:rPr>
          <w:noProof/>
        </w:rPr>
        <w:t>15</w:t>
      </w:r>
      <w:r w:rsidR="005E14DF" w:rsidRPr="004537D3">
        <w:rPr>
          <w:sz w:val="24"/>
        </w:rPr>
        <w:fldChar w:fldCharType="end"/>
      </w:r>
      <w:r w:rsidR="005E14DF" w:rsidRPr="001C70FC">
        <w:t xml:space="preserve"> s</w:t>
      </w:r>
      <w:r w:rsidR="005E14DF">
        <w:t xml:space="preserve">ummarizes the base year (2012) and forecast years (2030, 2040, 2050) demographic data used as inputs to determine annual BAU growth rates for the emissions forecast. </w:t>
      </w:r>
      <w:bookmarkStart w:id="53" w:name="_Ref471805514"/>
      <w:bookmarkStart w:id="54" w:name="_Ref471805510"/>
    </w:p>
    <w:p w14:paraId="27F3E45D" w14:textId="254CD66E" w:rsidR="00BC7AEA" w:rsidRPr="00814505" w:rsidRDefault="00BC7AEA" w:rsidP="00BC7AEA">
      <w:pPr>
        <w:pStyle w:val="Caption"/>
        <w:rPr>
          <w:sz w:val="20"/>
          <w:szCs w:val="22"/>
        </w:rPr>
      </w:pPr>
      <w:r w:rsidRPr="00814505">
        <w:rPr>
          <w:sz w:val="20"/>
          <w:szCs w:val="22"/>
        </w:rPr>
        <w:t xml:space="preserve">Table </w:t>
      </w:r>
      <w:r w:rsidRPr="00814505">
        <w:rPr>
          <w:sz w:val="20"/>
          <w:szCs w:val="22"/>
        </w:rPr>
        <w:fldChar w:fldCharType="begin"/>
      </w:r>
      <w:r w:rsidRPr="00814505">
        <w:rPr>
          <w:sz w:val="20"/>
          <w:szCs w:val="22"/>
        </w:rPr>
        <w:instrText xml:space="preserve"> SEQ Table \* ARABIC </w:instrText>
      </w:r>
      <w:r w:rsidRPr="00814505">
        <w:rPr>
          <w:sz w:val="20"/>
          <w:szCs w:val="22"/>
        </w:rPr>
        <w:fldChar w:fldCharType="separate"/>
      </w:r>
      <w:r w:rsidR="00AD4785">
        <w:rPr>
          <w:noProof/>
          <w:sz w:val="20"/>
          <w:szCs w:val="22"/>
        </w:rPr>
        <w:t>15</w:t>
      </w:r>
      <w:r w:rsidRPr="00814505">
        <w:rPr>
          <w:sz w:val="20"/>
          <w:szCs w:val="22"/>
        </w:rPr>
        <w:fldChar w:fldCharType="end"/>
      </w:r>
      <w:bookmarkEnd w:id="53"/>
      <w:r w:rsidRPr="00814505">
        <w:rPr>
          <w:sz w:val="20"/>
          <w:szCs w:val="22"/>
        </w:rPr>
        <w:t>: Emissions Forecast Demographic Growth Rates</w:t>
      </w:r>
      <w:bookmarkEnd w:id="54"/>
    </w:p>
    <w:tbl>
      <w:tblPr>
        <w:tblStyle w:val="AlternatingRows3"/>
        <w:tblW w:w="9270" w:type="dxa"/>
        <w:tblLook w:val="00A0" w:firstRow="1" w:lastRow="0" w:firstColumn="1" w:lastColumn="0" w:noHBand="0" w:noVBand="0"/>
      </w:tblPr>
      <w:tblGrid>
        <w:gridCol w:w="2218"/>
        <w:gridCol w:w="1385"/>
        <w:gridCol w:w="1465"/>
        <w:gridCol w:w="1484"/>
        <w:gridCol w:w="2718"/>
      </w:tblGrid>
      <w:tr w:rsidR="00BC7AEA" w:rsidRPr="00241AAC" w14:paraId="2C0D810A" w14:textId="77777777" w:rsidTr="00241AAC">
        <w:trPr>
          <w:cnfStyle w:val="100000000000" w:firstRow="1" w:lastRow="0" w:firstColumn="0" w:lastColumn="0" w:oddVBand="0" w:evenVBand="0" w:oddHBand="0" w:evenHBand="0" w:firstRowFirstColumn="0" w:firstRowLastColumn="0" w:lastRowFirstColumn="0" w:lastRowLastColumn="0"/>
          <w:trHeight w:val="917"/>
        </w:trPr>
        <w:tc>
          <w:tcPr>
            <w:tcW w:w="2218" w:type="dxa"/>
          </w:tcPr>
          <w:p w14:paraId="528C8B31" w14:textId="77777777" w:rsidR="00BC7AEA" w:rsidRPr="00241AAC" w:rsidRDefault="00BC7AEA" w:rsidP="00642CC3">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Sector</w:t>
            </w:r>
          </w:p>
        </w:tc>
        <w:tc>
          <w:tcPr>
            <w:tcW w:w="1385" w:type="dxa"/>
          </w:tcPr>
          <w:p w14:paraId="74C4B49C" w14:textId="77777777" w:rsidR="00BC7AEA" w:rsidRPr="00241AAC" w:rsidRDefault="00BC7AEA" w:rsidP="00642CC3">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Year</w:t>
            </w:r>
          </w:p>
        </w:tc>
        <w:tc>
          <w:tcPr>
            <w:tcW w:w="1465" w:type="dxa"/>
          </w:tcPr>
          <w:p w14:paraId="3951AE65" w14:textId="77777777" w:rsidR="00BC7AEA" w:rsidRPr="00241AAC" w:rsidRDefault="00BC7AEA" w:rsidP="00642CC3">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Data</w:t>
            </w:r>
          </w:p>
        </w:tc>
        <w:tc>
          <w:tcPr>
            <w:tcW w:w="1484" w:type="dxa"/>
          </w:tcPr>
          <w:p w14:paraId="0D9C3DEC" w14:textId="006185BA" w:rsidR="00BC7AEA" w:rsidRPr="00241AAC" w:rsidRDefault="00BC7AEA" w:rsidP="00C26E42">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 xml:space="preserve">Annual Growth Rate: 2012 </w:t>
            </w:r>
            <w:r w:rsidRPr="00241AAC">
              <w:rPr>
                <w:rFonts w:ascii="Times New Roman" w:hAnsi="Times New Roman" w:cs="Times New Roman"/>
                <w:b w:val="0"/>
                <w:bCs/>
                <w:sz w:val="20"/>
                <w:szCs w:val="20"/>
              </w:rPr>
              <w:sym w:font="Wingdings" w:char="F0E0"/>
            </w:r>
            <w:r w:rsidRPr="00241AAC">
              <w:rPr>
                <w:rFonts w:ascii="Times New Roman" w:hAnsi="Times New Roman" w:cs="Times New Roman"/>
                <w:b w:val="0"/>
                <w:bCs/>
                <w:sz w:val="20"/>
                <w:szCs w:val="20"/>
              </w:rPr>
              <w:t xml:space="preserve"> </w:t>
            </w:r>
            <w:r w:rsidR="00C26E42" w:rsidRPr="00241AAC">
              <w:rPr>
                <w:rFonts w:ascii="Times New Roman" w:hAnsi="Times New Roman" w:cs="Times New Roman"/>
                <w:b w:val="0"/>
                <w:bCs/>
                <w:sz w:val="20"/>
                <w:szCs w:val="20"/>
              </w:rPr>
              <w:t>Forecast Year</w:t>
            </w:r>
          </w:p>
        </w:tc>
        <w:tc>
          <w:tcPr>
            <w:tcW w:w="2718" w:type="dxa"/>
          </w:tcPr>
          <w:p w14:paraId="3E00496C" w14:textId="77777777" w:rsidR="00BC7AEA" w:rsidRPr="00241AAC" w:rsidRDefault="00BC7AEA" w:rsidP="00642CC3">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Data Source</w:t>
            </w:r>
          </w:p>
        </w:tc>
      </w:tr>
      <w:tr w:rsidR="00BC7AEA" w:rsidRPr="00241AAC" w14:paraId="4859BD3A" w14:textId="77777777" w:rsidTr="00241AAC">
        <w:trPr>
          <w:cnfStyle w:val="000000100000" w:firstRow="0" w:lastRow="0" w:firstColumn="0" w:lastColumn="0" w:oddVBand="0" w:evenVBand="0" w:oddHBand="1" w:evenHBand="0" w:firstRowFirstColumn="0" w:firstRowLastColumn="0" w:lastRowFirstColumn="0" w:lastRowLastColumn="0"/>
          <w:trHeight w:val="173"/>
        </w:trPr>
        <w:tc>
          <w:tcPr>
            <w:tcW w:w="2218" w:type="dxa"/>
            <w:vMerge w:val="restart"/>
          </w:tcPr>
          <w:p w14:paraId="1D1C1714"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Population</w:t>
            </w:r>
          </w:p>
        </w:tc>
        <w:tc>
          <w:tcPr>
            <w:tcW w:w="1385" w:type="dxa"/>
          </w:tcPr>
          <w:p w14:paraId="59AE27D1"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2012</w:t>
            </w:r>
          </w:p>
        </w:tc>
        <w:tc>
          <w:tcPr>
            <w:tcW w:w="1465" w:type="dxa"/>
          </w:tcPr>
          <w:p w14:paraId="093A56B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1172</w:t>
            </w:r>
          </w:p>
        </w:tc>
        <w:tc>
          <w:tcPr>
            <w:tcW w:w="1484" w:type="dxa"/>
          </w:tcPr>
          <w:p w14:paraId="1E1C8F0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N/A</w:t>
            </w:r>
          </w:p>
        </w:tc>
        <w:tc>
          <w:tcPr>
            <w:tcW w:w="2718" w:type="dxa"/>
          </w:tcPr>
          <w:p w14:paraId="48A6F6E0"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US Census Bureau</w:t>
            </w:r>
          </w:p>
        </w:tc>
      </w:tr>
      <w:tr w:rsidR="00BC7AEA" w:rsidRPr="00241AAC" w14:paraId="20AF45E8" w14:textId="77777777" w:rsidTr="00241AAC">
        <w:trPr>
          <w:cnfStyle w:val="000000010000" w:firstRow="0" w:lastRow="0" w:firstColumn="0" w:lastColumn="0" w:oddVBand="0" w:evenVBand="0" w:oddHBand="0" w:evenHBand="1" w:firstRowFirstColumn="0" w:firstRowLastColumn="0" w:lastRowFirstColumn="0" w:lastRowLastColumn="0"/>
          <w:trHeight w:val="173"/>
        </w:trPr>
        <w:tc>
          <w:tcPr>
            <w:tcW w:w="2218" w:type="dxa"/>
            <w:vMerge/>
          </w:tcPr>
          <w:p w14:paraId="35BD2958"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34E7F58D"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2030</w:t>
            </w:r>
          </w:p>
        </w:tc>
        <w:tc>
          <w:tcPr>
            <w:tcW w:w="1465" w:type="dxa"/>
          </w:tcPr>
          <w:p w14:paraId="41C4013B"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118,625</w:t>
            </w:r>
          </w:p>
        </w:tc>
        <w:tc>
          <w:tcPr>
            <w:tcW w:w="1484" w:type="dxa"/>
          </w:tcPr>
          <w:p w14:paraId="17701A90"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0.62%</w:t>
            </w:r>
          </w:p>
        </w:tc>
        <w:tc>
          <w:tcPr>
            <w:tcW w:w="2718" w:type="dxa"/>
          </w:tcPr>
          <w:p w14:paraId="42B7CFE4"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46B4557F" w14:textId="77777777" w:rsidTr="00241AAC">
        <w:trPr>
          <w:cnfStyle w:val="000000100000" w:firstRow="0" w:lastRow="0" w:firstColumn="0" w:lastColumn="0" w:oddVBand="0" w:evenVBand="0" w:oddHBand="1" w:evenHBand="0" w:firstRowFirstColumn="0" w:firstRowLastColumn="0" w:lastRowFirstColumn="0" w:lastRowLastColumn="0"/>
          <w:trHeight w:val="173"/>
        </w:trPr>
        <w:tc>
          <w:tcPr>
            <w:tcW w:w="2218" w:type="dxa"/>
            <w:vMerge/>
          </w:tcPr>
          <w:p w14:paraId="7F199438"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1358185D"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2040</w:t>
            </w:r>
          </w:p>
        </w:tc>
        <w:tc>
          <w:tcPr>
            <w:tcW w:w="1465" w:type="dxa"/>
          </w:tcPr>
          <w:p w14:paraId="35AB708B"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123,804</w:t>
            </w:r>
          </w:p>
        </w:tc>
        <w:tc>
          <w:tcPr>
            <w:tcW w:w="1484" w:type="dxa"/>
          </w:tcPr>
          <w:p w14:paraId="0D094649"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0.55%</w:t>
            </w:r>
          </w:p>
        </w:tc>
        <w:tc>
          <w:tcPr>
            <w:tcW w:w="2718" w:type="dxa"/>
          </w:tcPr>
          <w:p w14:paraId="37DA246E"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31F18369" w14:textId="77777777" w:rsidTr="00241AAC">
        <w:trPr>
          <w:cnfStyle w:val="000000010000" w:firstRow="0" w:lastRow="0" w:firstColumn="0" w:lastColumn="0" w:oddVBand="0" w:evenVBand="0" w:oddHBand="0" w:evenHBand="1" w:firstRowFirstColumn="0" w:firstRowLastColumn="0" w:lastRowFirstColumn="0" w:lastRowLastColumn="0"/>
          <w:trHeight w:val="173"/>
        </w:trPr>
        <w:tc>
          <w:tcPr>
            <w:tcW w:w="2218" w:type="dxa"/>
            <w:vMerge/>
          </w:tcPr>
          <w:p w14:paraId="0F40B232"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4000DF76"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2050</w:t>
            </w:r>
          </w:p>
        </w:tc>
        <w:tc>
          <w:tcPr>
            <w:tcW w:w="1465" w:type="dxa"/>
          </w:tcPr>
          <w:p w14:paraId="7C898DA7"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130,787</w:t>
            </w:r>
          </w:p>
        </w:tc>
        <w:tc>
          <w:tcPr>
            <w:tcW w:w="1484" w:type="dxa"/>
          </w:tcPr>
          <w:p w14:paraId="440C2D10"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0.55%</w:t>
            </w:r>
          </w:p>
        </w:tc>
        <w:tc>
          <w:tcPr>
            <w:tcW w:w="2718" w:type="dxa"/>
          </w:tcPr>
          <w:p w14:paraId="2229A026"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505B324E" w14:textId="77777777" w:rsidTr="00241AAC">
        <w:trPr>
          <w:cnfStyle w:val="000000100000" w:firstRow="0" w:lastRow="0" w:firstColumn="0" w:lastColumn="0" w:oddVBand="0" w:evenVBand="0" w:oddHBand="1" w:evenHBand="0" w:firstRowFirstColumn="0" w:firstRowLastColumn="0" w:lastRowFirstColumn="0" w:lastRowLastColumn="0"/>
          <w:trHeight w:val="173"/>
        </w:trPr>
        <w:tc>
          <w:tcPr>
            <w:tcW w:w="2218" w:type="dxa"/>
            <w:vMerge w:val="restart"/>
          </w:tcPr>
          <w:p w14:paraId="194B1010"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Jobs</w:t>
            </w:r>
          </w:p>
        </w:tc>
        <w:tc>
          <w:tcPr>
            <w:tcW w:w="1385" w:type="dxa"/>
          </w:tcPr>
          <w:p w14:paraId="6FB40323"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2010</w:t>
            </w:r>
          </w:p>
        </w:tc>
        <w:tc>
          <w:tcPr>
            <w:tcW w:w="1465" w:type="dxa"/>
          </w:tcPr>
          <w:p w14:paraId="67E940EF"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105,746</w:t>
            </w:r>
          </w:p>
        </w:tc>
        <w:tc>
          <w:tcPr>
            <w:tcW w:w="1484" w:type="dxa"/>
          </w:tcPr>
          <w:p w14:paraId="7A6D0E53"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N/A</w:t>
            </w:r>
          </w:p>
        </w:tc>
        <w:tc>
          <w:tcPr>
            <w:tcW w:w="2718" w:type="dxa"/>
          </w:tcPr>
          <w:p w14:paraId="44CB8FDF"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4A61F0FA" w14:textId="77777777" w:rsidTr="00241AAC">
        <w:trPr>
          <w:cnfStyle w:val="000000010000" w:firstRow="0" w:lastRow="0" w:firstColumn="0" w:lastColumn="0" w:oddVBand="0" w:evenVBand="0" w:oddHBand="0" w:evenHBand="1" w:firstRowFirstColumn="0" w:firstRowLastColumn="0" w:lastRowFirstColumn="0" w:lastRowLastColumn="0"/>
          <w:trHeight w:val="173"/>
        </w:trPr>
        <w:tc>
          <w:tcPr>
            <w:tcW w:w="2218" w:type="dxa"/>
            <w:vMerge/>
          </w:tcPr>
          <w:p w14:paraId="55A5C170"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52FABD21"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2012</w:t>
            </w:r>
          </w:p>
        </w:tc>
        <w:tc>
          <w:tcPr>
            <w:tcW w:w="1465" w:type="dxa"/>
          </w:tcPr>
          <w:p w14:paraId="783673DA"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108,084</w:t>
            </w:r>
          </w:p>
        </w:tc>
        <w:tc>
          <w:tcPr>
            <w:tcW w:w="1484" w:type="dxa"/>
          </w:tcPr>
          <w:p w14:paraId="5C075C5E"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N/A</w:t>
            </w:r>
          </w:p>
        </w:tc>
        <w:tc>
          <w:tcPr>
            <w:tcW w:w="2718" w:type="dxa"/>
          </w:tcPr>
          <w:p w14:paraId="216F6AD3"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Calculated</w:t>
            </w:r>
          </w:p>
        </w:tc>
      </w:tr>
      <w:tr w:rsidR="00BC7AEA" w:rsidRPr="00241AAC" w14:paraId="07158AF0" w14:textId="77777777" w:rsidTr="00241AAC">
        <w:trPr>
          <w:cnfStyle w:val="000000100000" w:firstRow="0" w:lastRow="0" w:firstColumn="0" w:lastColumn="0" w:oddVBand="0" w:evenVBand="0" w:oddHBand="1" w:evenHBand="0" w:firstRowFirstColumn="0" w:firstRowLastColumn="0" w:lastRowFirstColumn="0" w:lastRowLastColumn="0"/>
          <w:trHeight w:val="173"/>
        </w:trPr>
        <w:tc>
          <w:tcPr>
            <w:tcW w:w="2218" w:type="dxa"/>
            <w:vMerge/>
          </w:tcPr>
          <w:p w14:paraId="2A6675DF"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37C4B7B1"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2030</w:t>
            </w:r>
          </w:p>
        </w:tc>
        <w:tc>
          <w:tcPr>
            <w:tcW w:w="1465" w:type="dxa"/>
          </w:tcPr>
          <w:p w14:paraId="10C7C650"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118,726</w:t>
            </w:r>
          </w:p>
        </w:tc>
        <w:tc>
          <w:tcPr>
            <w:tcW w:w="1484" w:type="dxa"/>
          </w:tcPr>
          <w:p w14:paraId="5B0FA9B4"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0.52%</w:t>
            </w:r>
          </w:p>
        </w:tc>
        <w:tc>
          <w:tcPr>
            <w:tcW w:w="2718" w:type="dxa"/>
          </w:tcPr>
          <w:p w14:paraId="02EE328A"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037F3661" w14:textId="77777777" w:rsidTr="00241AAC">
        <w:trPr>
          <w:cnfStyle w:val="000000010000" w:firstRow="0" w:lastRow="0" w:firstColumn="0" w:lastColumn="0" w:oddVBand="0" w:evenVBand="0" w:oddHBand="0" w:evenHBand="1" w:firstRowFirstColumn="0" w:firstRowLastColumn="0" w:lastRowFirstColumn="0" w:lastRowLastColumn="0"/>
          <w:trHeight w:val="173"/>
        </w:trPr>
        <w:tc>
          <w:tcPr>
            <w:tcW w:w="2218" w:type="dxa"/>
            <w:vMerge/>
          </w:tcPr>
          <w:p w14:paraId="607FD282"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22BBB457"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2040</w:t>
            </w:r>
          </w:p>
        </w:tc>
        <w:tc>
          <w:tcPr>
            <w:tcW w:w="1465" w:type="dxa"/>
          </w:tcPr>
          <w:p w14:paraId="1602201C"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123,389</w:t>
            </w:r>
          </w:p>
        </w:tc>
        <w:tc>
          <w:tcPr>
            <w:tcW w:w="1484" w:type="dxa"/>
          </w:tcPr>
          <w:p w14:paraId="6A9695FB"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0.47%</w:t>
            </w:r>
          </w:p>
        </w:tc>
        <w:tc>
          <w:tcPr>
            <w:tcW w:w="2718" w:type="dxa"/>
          </w:tcPr>
          <w:p w14:paraId="2E04A6C9"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474A91C0" w14:textId="77777777" w:rsidTr="00241AAC">
        <w:trPr>
          <w:cnfStyle w:val="000000100000" w:firstRow="0" w:lastRow="0" w:firstColumn="0" w:lastColumn="0" w:oddVBand="0" w:evenVBand="0" w:oddHBand="1" w:evenHBand="0" w:firstRowFirstColumn="0" w:firstRowLastColumn="0" w:lastRowFirstColumn="0" w:lastRowLastColumn="0"/>
          <w:trHeight w:val="173"/>
        </w:trPr>
        <w:tc>
          <w:tcPr>
            <w:tcW w:w="2218" w:type="dxa"/>
            <w:vMerge/>
          </w:tcPr>
          <w:p w14:paraId="4255D40C"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71B49BA9"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2050</w:t>
            </w:r>
          </w:p>
        </w:tc>
        <w:tc>
          <w:tcPr>
            <w:tcW w:w="1465" w:type="dxa"/>
          </w:tcPr>
          <w:p w14:paraId="38C4914A"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129,365</w:t>
            </w:r>
          </w:p>
        </w:tc>
        <w:tc>
          <w:tcPr>
            <w:tcW w:w="1484" w:type="dxa"/>
          </w:tcPr>
          <w:p w14:paraId="68069720"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0.47%</w:t>
            </w:r>
          </w:p>
        </w:tc>
        <w:tc>
          <w:tcPr>
            <w:tcW w:w="2718" w:type="dxa"/>
          </w:tcPr>
          <w:p w14:paraId="5FE09F4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Calculated</w:t>
            </w:r>
          </w:p>
        </w:tc>
      </w:tr>
      <w:tr w:rsidR="00BC7AEA" w:rsidRPr="00241AAC" w14:paraId="4BAA0F90" w14:textId="77777777" w:rsidTr="00241AAC">
        <w:trPr>
          <w:cnfStyle w:val="000000010000" w:firstRow="0" w:lastRow="0" w:firstColumn="0" w:lastColumn="0" w:oddVBand="0" w:evenVBand="0" w:oddHBand="0" w:evenHBand="1" w:firstRowFirstColumn="0" w:firstRowLastColumn="0" w:lastRowFirstColumn="0" w:lastRowLastColumn="0"/>
          <w:trHeight w:val="173"/>
        </w:trPr>
        <w:tc>
          <w:tcPr>
            <w:tcW w:w="2218" w:type="dxa"/>
            <w:vMerge w:val="restart"/>
          </w:tcPr>
          <w:p w14:paraId="12C64660"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Households</w:t>
            </w:r>
          </w:p>
        </w:tc>
        <w:tc>
          <w:tcPr>
            <w:tcW w:w="1385" w:type="dxa"/>
          </w:tcPr>
          <w:p w14:paraId="5B867943"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2010</w:t>
            </w:r>
          </w:p>
        </w:tc>
        <w:tc>
          <w:tcPr>
            <w:tcW w:w="1465" w:type="dxa"/>
          </w:tcPr>
          <w:p w14:paraId="50E6D58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44,032</w:t>
            </w:r>
          </w:p>
        </w:tc>
        <w:tc>
          <w:tcPr>
            <w:tcW w:w="1484" w:type="dxa"/>
          </w:tcPr>
          <w:p w14:paraId="4299B1B8"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N/A</w:t>
            </w:r>
          </w:p>
        </w:tc>
        <w:tc>
          <w:tcPr>
            <w:tcW w:w="2718" w:type="dxa"/>
          </w:tcPr>
          <w:p w14:paraId="1D43C35A"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US Census Bureau</w:t>
            </w:r>
          </w:p>
        </w:tc>
      </w:tr>
      <w:tr w:rsidR="00BC7AEA" w:rsidRPr="00241AAC" w14:paraId="58318CD7" w14:textId="77777777" w:rsidTr="00241AAC">
        <w:trPr>
          <w:cnfStyle w:val="000000100000" w:firstRow="0" w:lastRow="0" w:firstColumn="0" w:lastColumn="0" w:oddVBand="0" w:evenVBand="0" w:oddHBand="1" w:evenHBand="0" w:firstRowFirstColumn="0" w:firstRowLastColumn="0" w:lastRowFirstColumn="0" w:lastRowLastColumn="0"/>
          <w:trHeight w:val="173"/>
        </w:trPr>
        <w:tc>
          <w:tcPr>
            <w:tcW w:w="2218" w:type="dxa"/>
            <w:vMerge/>
          </w:tcPr>
          <w:p w14:paraId="5623E62C"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3A41FE2D"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2012</w:t>
            </w:r>
          </w:p>
        </w:tc>
        <w:tc>
          <w:tcPr>
            <w:tcW w:w="1465" w:type="dxa"/>
          </w:tcPr>
          <w:p w14:paraId="10C0D62C"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44,652</w:t>
            </w:r>
          </w:p>
        </w:tc>
        <w:tc>
          <w:tcPr>
            <w:tcW w:w="1484" w:type="dxa"/>
          </w:tcPr>
          <w:p w14:paraId="50E516F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N/A</w:t>
            </w:r>
          </w:p>
        </w:tc>
        <w:tc>
          <w:tcPr>
            <w:tcW w:w="2718" w:type="dxa"/>
          </w:tcPr>
          <w:p w14:paraId="7FAE2E4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Calculated</w:t>
            </w:r>
          </w:p>
        </w:tc>
      </w:tr>
      <w:tr w:rsidR="00BC7AEA" w:rsidRPr="00241AAC" w14:paraId="7A15880A" w14:textId="77777777" w:rsidTr="00241AAC">
        <w:trPr>
          <w:cnfStyle w:val="000000010000" w:firstRow="0" w:lastRow="0" w:firstColumn="0" w:lastColumn="0" w:oddVBand="0" w:evenVBand="0" w:oddHBand="0" w:evenHBand="1" w:firstRowFirstColumn="0" w:firstRowLastColumn="0" w:lastRowFirstColumn="0" w:lastRowLastColumn="0"/>
          <w:trHeight w:val="173"/>
        </w:trPr>
        <w:tc>
          <w:tcPr>
            <w:tcW w:w="2218" w:type="dxa"/>
            <w:vMerge/>
          </w:tcPr>
          <w:p w14:paraId="7FF4FF79"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74F9D05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2030</w:t>
            </w:r>
          </w:p>
        </w:tc>
        <w:tc>
          <w:tcPr>
            <w:tcW w:w="1465" w:type="dxa"/>
          </w:tcPr>
          <w:p w14:paraId="2EB9D44C"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49,640</w:t>
            </w:r>
          </w:p>
        </w:tc>
        <w:tc>
          <w:tcPr>
            <w:tcW w:w="1484" w:type="dxa"/>
          </w:tcPr>
          <w:p w14:paraId="2A1240DA"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0.59%</w:t>
            </w:r>
          </w:p>
        </w:tc>
        <w:tc>
          <w:tcPr>
            <w:tcW w:w="2718" w:type="dxa"/>
          </w:tcPr>
          <w:p w14:paraId="194EAB7D"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35D2C75E" w14:textId="77777777" w:rsidTr="00241AAC">
        <w:trPr>
          <w:cnfStyle w:val="000000100000" w:firstRow="0" w:lastRow="0" w:firstColumn="0" w:lastColumn="0" w:oddVBand="0" w:evenVBand="0" w:oddHBand="1" w:evenHBand="0" w:firstRowFirstColumn="0" w:firstRowLastColumn="0" w:lastRowFirstColumn="0" w:lastRowLastColumn="0"/>
          <w:trHeight w:val="173"/>
        </w:trPr>
        <w:tc>
          <w:tcPr>
            <w:tcW w:w="2218" w:type="dxa"/>
            <w:vMerge/>
          </w:tcPr>
          <w:p w14:paraId="2710D93A"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4C6A47A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2040</w:t>
            </w:r>
          </w:p>
        </w:tc>
        <w:tc>
          <w:tcPr>
            <w:tcW w:w="1465" w:type="dxa"/>
          </w:tcPr>
          <w:p w14:paraId="244AE938"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51,886</w:t>
            </w:r>
          </w:p>
        </w:tc>
        <w:tc>
          <w:tcPr>
            <w:tcW w:w="1484" w:type="dxa"/>
          </w:tcPr>
          <w:p w14:paraId="68E1DB3D"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0.54%</w:t>
            </w:r>
          </w:p>
        </w:tc>
        <w:tc>
          <w:tcPr>
            <w:tcW w:w="2718" w:type="dxa"/>
          </w:tcPr>
          <w:p w14:paraId="3BA4A175"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BRLRTPP, MAPC, 2014</w:t>
            </w:r>
          </w:p>
        </w:tc>
      </w:tr>
      <w:tr w:rsidR="00BC7AEA" w:rsidRPr="00241AAC" w14:paraId="14F676B2" w14:textId="77777777" w:rsidTr="00241AAC">
        <w:trPr>
          <w:cnfStyle w:val="000000010000" w:firstRow="0" w:lastRow="0" w:firstColumn="0" w:lastColumn="0" w:oddVBand="0" w:evenVBand="0" w:oddHBand="0" w:evenHBand="1" w:firstRowFirstColumn="0" w:firstRowLastColumn="0" w:lastRowFirstColumn="0" w:lastRowLastColumn="0"/>
          <w:trHeight w:val="173"/>
        </w:trPr>
        <w:tc>
          <w:tcPr>
            <w:tcW w:w="2218" w:type="dxa"/>
            <w:vMerge/>
          </w:tcPr>
          <w:p w14:paraId="72372E06" w14:textId="77777777" w:rsidR="00BC7AEA" w:rsidRPr="00241AAC" w:rsidRDefault="00BC7AEA" w:rsidP="00D662C5">
            <w:pPr>
              <w:pStyle w:val="NoSpacing"/>
              <w:jc w:val="center"/>
              <w:rPr>
                <w:rFonts w:ascii="Times New Roman" w:hAnsi="Times New Roman" w:cs="Times New Roman"/>
                <w:sz w:val="20"/>
                <w:szCs w:val="20"/>
              </w:rPr>
            </w:pPr>
          </w:p>
        </w:tc>
        <w:tc>
          <w:tcPr>
            <w:tcW w:w="1385" w:type="dxa"/>
          </w:tcPr>
          <w:p w14:paraId="49ED83F5"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2050</w:t>
            </w:r>
          </w:p>
        </w:tc>
        <w:tc>
          <w:tcPr>
            <w:tcW w:w="1465" w:type="dxa"/>
          </w:tcPr>
          <w:p w14:paraId="37EC1782"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54,744</w:t>
            </w:r>
          </w:p>
        </w:tc>
        <w:tc>
          <w:tcPr>
            <w:tcW w:w="1484" w:type="dxa"/>
          </w:tcPr>
          <w:p w14:paraId="774EB755"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0.54%</w:t>
            </w:r>
          </w:p>
        </w:tc>
        <w:tc>
          <w:tcPr>
            <w:tcW w:w="2718" w:type="dxa"/>
          </w:tcPr>
          <w:p w14:paraId="21DC214E" w14:textId="77777777" w:rsidR="00BC7AEA" w:rsidRPr="00241AAC" w:rsidRDefault="00BC7AEA" w:rsidP="00D662C5">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Calculated</w:t>
            </w:r>
          </w:p>
        </w:tc>
      </w:tr>
    </w:tbl>
    <w:p w14:paraId="144B345F" w14:textId="77777777" w:rsidR="00867E62" w:rsidRDefault="00867E62" w:rsidP="00867E62"/>
    <w:p w14:paraId="7184280B" w14:textId="031B1606" w:rsidR="00867E62" w:rsidRDefault="00867E62" w:rsidP="00867E62">
      <w:pPr>
        <w:pStyle w:val="ParaText"/>
        <w:rPr>
          <w:rFonts w:ascii="Calibri" w:hAnsi="Calibri"/>
        </w:rPr>
      </w:pPr>
      <w:r>
        <w:t xml:space="preserve">For the co-generation plants, </w:t>
      </w:r>
      <w:r w:rsidR="0064341D">
        <w:t>the growth rates consider the following</w:t>
      </w:r>
      <w:r>
        <w:t xml:space="preserve">: </w:t>
      </w:r>
    </w:p>
    <w:p w14:paraId="24A13FEF" w14:textId="77777777" w:rsidR="00867E62" w:rsidRDefault="00867E62" w:rsidP="00867E62">
      <w:pPr>
        <w:pStyle w:val="ParaText"/>
        <w:numPr>
          <w:ilvl w:val="0"/>
          <w:numId w:val="20"/>
        </w:numPr>
      </w:pPr>
      <w:r>
        <w:t>In 2015 the MIT Central Utilities Plant Second Century Plant Expansion plan was developed, with the in-service date of the first of two new CHP units in 2018 followed by the 2nd unit in 2019. The plant is projected to meet all the Institute’s energy needs by 2020.</w:t>
      </w:r>
    </w:p>
    <w:p w14:paraId="591E7A7B" w14:textId="77777777" w:rsidR="00867E62" w:rsidRDefault="00867E62" w:rsidP="00867E62">
      <w:pPr>
        <w:pStyle w:val="ParaText"/>
        <w:numPr>
          <w:ilvl w:val="0"/>
          <w:numId w:val="20"/>
        </w:numPr>
      </w:pPr>
      <w:r>
        <w:t>In 2013 a combustion turbine CHP unit was added to the Harvard Blackstone plant, with a nominal 7.5MW turbine generator and a new Heat Recovery Steam Generator (HRSG).</w:t>
      </w:r>
    </w:p>
    <w:p w14:paraId="1AD46558" w14:textId="0F0C6964" w:rsidR="00867E62" w:rsidRDefault="00867E62" w:rsidP="00867E62">
      <w:pPr>
        <w:pStyle w:val="ParaText"/>
      </w:pPr>
      <w:r>
        <w:t xml:space="preserve">These forecast emissions projections </w:t>
      </w:r>
      <w:r w:rsidR="0064341D">
        <w:t xml:space="preserve">for the co-generation plants </w:t>
      </w:r>
      <w:r>
        <w:t>account for the rated capacity of the equipment and expected operations, and do not reflect downstream restrictions that would limit actual emissions such as demand reduction. Displacement of heating emissions was not calculated due to an indeterminate proportion of steam being integrated into new and existing buildings in Boston and Cambridge. All projections should be updated as data becomes available.</w:t>
      </w:r>
    </w:p>
    <w:p w14:paraId="615019CF" w14:textId="1C48ADB3" w:rsidR="005E14DF" w:rsidRPr="005E14DF" w:rsidRDefault="005E14DF" w:rsidP="005E14DF">
      <w:pPr>
        <w:pStyle w:val="ParaText"/>
      </w:pPr>
      <w:r w:rsidRPr="001C70FC">
        <w:fldChar w:fldCharType="begin"/>
      </w:r>
      <w:r w:rsidRPr="001C70FC">
        <w:instrText xml:space="preserve"> REF _Ref471805656 \h </w:instrText>
      </w:r>
      <w:r w:rsidR="001C70FC" w:rsidRPr="001C70FC">
        <w:instrText xml:space="preserve"> \* MERGEFORMAT </w:instrText>
      </w:r>
      <w:r w:rsidRPr="001C70FC">
        <w:fldChar w:fldCharType="separate"/>
      </w:r>
      <w:r w:rsidR="004537D3" w:rsidRPr="004537D3">
        <w:t xml:space="preserve">Table </w:t>
      </w:r>
      <w:r w:rsidR="004537D3" w:rsidRPr="004537D3">
        <w:rPr>
          <w:noProof/>
        </w:rPr>
        <w:t>16</w:t>
      </w:r>
      <w:r w:rsidRPr="001C70FC">
        <w:fldChar w:fldCharType="end"/>
      </w:r>
      <w:r>
        <w:t xml:space="preserve"> summarizes the BAU growth rates used to forecast </w:t>
      </w:r>
      <w:r w:rsidR="00FC2016">
        <w:t>future emissions in each</w:t>
      </w:r>
      <w:r>
        <w:t xml:space="preserve"> subsector and the demographic proxy the growth rates are derived from. </w:t>
      </w:r>
    </w:p>
    <w:p w14:paraId="122D5171" w14:textId="2B3C5BAF" w:rsidR="003532DA" w:rsidRPr="00814505" w:rsidRDefault="003532DA" w:rsidP="003532DA">
      <w:pPr>
        <w:pStyle w:val="Caption"/>
        <w:rPr>
          <w:sz w:val="20"/>
          <w:szCs w:val="22"/>
        </w:rPr>
      </w:pPr>
      <w:bookmarkStart w:id="55" w:name="_Ref471805656"/>
      <w:r w:rsidRPr="00814505">
        <w:rPr>
          <w:sz w:val="20"/>
          <w:szCs w:val="22"/>
        </w:rPr>
        <w:lastRenderedPageBreak/>
        <w:t xml:space="preserve">Table </w:t>
      </w:r>
      <w:r w:rsidRPr="00814505">
        <w:rPr>
          <w:sz w:val="20"/>
          <w:szCs w:val="22"/>
        </w:rPr>
        <w:fldChar w:fldCharType="begin"/>
      </w:r>
      <w:r w:rsidRPr="00814505">
        <w:rPr>
          <w:sz w:val="20"/>
          <w:szCs w:val="22"/>
        </w:rPr>
        <w:instrText xml:space="preserve"> SEQ Table \* ARABIC </w:instrText>
      </w:r>
      <w:r w:rsidRPr="00814505">
        <w:rPr>
          <w:sz w:val="20"/>
          <w:szCs w:val="22"/>
        </w:rPr>
        <w:fldChar w:fldCharType="separate"/>
      </w:r>
      <w:r w:rsidR="00AD4785">
        <w:rPr>
          <w:noProof/>
          <w:sz w:val="20"/>
          <w:szCs w:val="22"/>
        </w:rPr>
        <w:t>16</w:t>
      </w:r>
      <w:r w:rsidRPr="00814505">
        <w:rPr>
          <w:sz w:val="20"/>
          <w:szCs w:val="22"/>
        </w:rPr>
        <w:fldChar w:fldCharType="end"/>
      </w:r>
      <w:bookmarkEnd w:id="55"/>
      <w:r w:rsidRPr="00814505">
        <w:rPr>
          <w:sz w:val="20"/>
          <w:szCs w:val="22"/>
        </w:rPr>
        <w:t>: Emissions Forecast Annual Growth Rates Used to Project Emissions by Subsector</w:t>
      </w:r>
      <w:r w:rsidRPr="00814505">
        <w:rPr>
          <w:sz w:val="20"/>
          <w:szCs w:val="22"/>
        </w:rPr>
        <w:tab/>
      </w:r>
    </w:p>
    <w:tbl>
      <w:tblPr>
        <w:tblStyle w:val="AlternatingRows3"/>
        <w:tblW w:w="9272" w:type="dxa"/>
        <w:tblLook w:val="00A0" w:firstRow="1" w:lastRow="0" w:firstColumn="1" w:lastColumn="0" w:noHBand="0" w:noVBand="0"/>
      </w:tblPr>
      <w:tblGrid>
        <w:gridCol w:w="1743"/>
        <w:gridCol w:w="2489"/>
        <w:gridCol w:w="2160"/>
        <w:gridCol w:w="960"/>
        <w:gridCol w:w="960"/>
        <w:gridCol w:w="960"/>
      </w:tblGrid>
      <w:tr w:rsidR="00DB6F80" w:rsidRPr="00241AAC" w14:paraId="5FB42CED" w14:textId="77777777" w:rsidTr="00241AAC">
        <w:trPr>
          <w:cnfStyle w:val="100000000000" w:firstRow="1" w:lastRow="0" w:firstColumn="0" w:lastColumn="0" w:oddVBand="0" w:evenVBand="0" w:oddHBand="0" w:evenHBand="0" w:firstRowFirstColumn="0" w:firstRowLastColumn="0" w:lastRowFirstColumn="0" w:lastRowLastColumn="0"/>
          <w:trHeight w:val="351"/>
        </w:trPr>
        <w:tc>
          <w:tcPr>
            <w:tcW w:w="1743" w:type="dxa"/>
            <w:vMerge w:val="restart"/>
          </w:tcPr>
          <w:p w14:paraId="11A35E15" w14:textId="386E368D" w:rsidR="00DB6F80" w:rsidRPr="00241AAC" w:rsidRDefault="00DB6F80" w:rsidP="00BC7AEA">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Sector</w:t>
            </w:r>
          </w:p>
        </w:tc>
        <w:tc>
          <w:tcPr>
            <w:tcW w:w="2489" w:type="dxa"/>
            <w:vMerge w:val="restart"/>
          </w:tcPr>
          <w:p w14:paraId="435D174E" w14:textId="039613C8" w:rsidR="00DB6F80" w:rsidRPr="00241AAC" w:rsidRDefault="00DB6F80" w:rsidP="00BC7AEA">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Subsector</w:t>
            </w:r>
          </w:p>
        </w:tc>
        <w:tc>
          <w:tcPr>
            <w:tcW w:w="2160" w:type="dxa"/>
            <w:vMerge w:val="restart"/>
          </w:tcPr>
          <w:p w14:paraId="6553F6B5" w14:textId="2F3EF020" w:rsidR="00DB6F80" w:rsidRPr="00241AAC" w:rsidRDefault="00DB6F80" w:rsidP="00BC7AEA">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Annual Growth Rate Proxy Used</w:t>
            </w:r>
          </w:p>
        </w:tc>
        <w:tc>
          <w:tcPr>
            <w:tcW w:w="2880" w:type="dxa"/>
            <w:gridSpan w:val="3"/>
          </w:tcPr>
          <w:p w14:paraId="7ED5809E" w14:textId="6736E9B4" w:rsidR="00DB6F80" w:rsidRPr="00241AAC" w:rsidRDefault="00DB6F80" w:rsidP="00BC7AEA">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 xml:space="preserve">Annual </w:t>
            </w:r>
            <w:r w:rsidR="005E14DF" w:rsidRPr="00241AAC">
              <w:rPr>
                <w:rFonts w:ascii="Times New Roman" w:hAnsi="Times New Roman" w:cs="Times New Roman"/>
                <w:b w:val="0"/>
                <w:bCs/>
                <w:sz w:val="20"/>
                <w:szCs w:val="20"/>
              </w:rPr>
              <w:t xml:space="preserve">BAU </w:t>
            </w:r>
            <w:r w:rsidRPr="00241AAC">
              <w:rPr>
                <w:rFonts w:ascii="Times New Roman" w:hAnsi="Times New Roman" w:cs="Times New Roman"/>
                <w:b w:val="0"/>
                <w:bCs/>
                <w:sz w:val="20"/>
                <w:szCs w:val="20"/>
              </w:rPr>
              <w:t>Growth Rate</w:t>
            </w:r>
          </w:p>
        </w:tc>
      </w:tr>
      <w:tr w:rsidR="00DB6F80" w:rsidRPr="00241AAC" w14:paraId="19CD5374" w14:textId="77777777" w:rsidTr="00FC2016">
        <w:trPr>
          <w:cnfStyle w:val="000000100000" w:firstRow="0" w:lastRow="0" w:firstColumn="0" w:lastColumn="0" w:oddVBand="0" w:evenVBand="0" w:oddHBand="1" w:evenHBand="0" w:firstRowFirstColumn="0" w:firstRowLastColumn="0" w:lastRowFirstColumn="0" w:lastRowLastColumn="0"/>
          <w:trHeight w:val="350"/>
        </w:trPr>
        <w:tc>
          <w:tcPr>
            <w:tcW w:w="1743" w:type="dxa"/>
            <w:vMerge/>
          </w:tcPr>
          <w:p w14:paraId="6893D2B6" w14:textId="77777777" w:rsidR="00DB6F80" w:rsidRPr="00241AAC" w:rsidRDefault="00DB6F80" w:rsidP="00BC7AEA">
            <w:pPr>
              <w:pStyle w:val="NoSpacing"/>
              <w:jc w:val="center"/>
              <w:rPr>
                <w:rFonts w:ascii="Times New Roman" w:hAnsi="Times New Roman" w:cs="Times New Roman"/>
                <w:b/>
                <w:bCs/>
                <w:color w:val="FFFFFF" w:themeColor="background1"/>
                <w:sz w:val="20"/>
                <w:szCs w:val="20"/>
              </w:rPr>
            </w:pPr>
          </w:p>
        </w:tc>
        <w:tc>
          <w:tcPr>
            <w:tcW w:w="2489" w:type="dxa"/>
            <w:vMerge/>
          </w:tcPr>
          <w:p w14:paraId="0A0786CF" w14:textId="77777777" w:rsidR="00DB6F80" w:rsidRPr="00241AAC" w:rsidRDefault="00DB6F80" w:rsidP="00BC7AEA">
            <w:pPr>
              <w:pStyle w:val="NoSpacing"/>
              <w:jc w:val="center"/>
              <w:rPr>
                <w:rFonts w:ascii="Times New Roman" w:hAnsi="Times New Roman" w:cs="Times New Roman"/>
                <w:b/>
                <w:bCs/>
                <w:color w:val="FFFFFF" w:themeColor="background1"/>
                <w:sz w:val="20"/>
                <w:szCs w:val="20"/>
              </w:rPr>
            </w:pPr>
          </w:p>
        </w:tc>
        <w:tc>
          <w:tcPr>
            <w:tcW w:w="2160" w:type="dxa"/>
            <w:vMerge/>
          </w:tcPr>
          <w:p w14:paraId="5DCB5BE2" w14:textId="77777777" w:rsidR="00DB6F80" w:rsidRPr="00241AAC" w:rsidRDefault="00DB6F80" w:rsidP="00BC7AEA">
            <w:pPr>
              <w:pStyle w:val="NoSpacing"/>
              <w:jc w:val="center"/>
              <w:rPr>
                <w:rFonts w:ascii="Times New Roman" w:hAnsi="Times New Roman" w:cs="Times New Roman"/>
                <w:b/>
                <w:bCs/>
                <w:color w:val="FFFFFF" w:themeColor="background1"/>
                <w:sz w:val="20"/>
                <w:szCs w:val="20"/>
              </w:rPr>
            </w:pPr>
          </w:p>
        </w:tc>
        <w:tc>
          <w:tcPr>
            <w:tcW w:w="960" w:type="dxa"/>
            <w:shd w:val="clear" w:color="auto" w:fill="548DD4" w:themeFill="text2" w:themeFillTint="99"/>
          </w:tcPr>
          <w:p w14:paraId="0067F9FC" w14:textId="73F28266" w:rsidR="00DB6F80" w:rsidRPr="00FC2016" w:rsidRDefault="00DB6F80" w:rsidP="00BC7AEA">
            <w:pPr>
              <w:pStyle w:val="NoSpacing"/>
              <w:jc w:val="center"/>
              <w:rPr>
                <w:rFonts w:ascii="Times New Roman" w:hAnsi="Times New Roman" w:cs="Times New Roman"/>
                <w:bCs/>
                <w:color w:val="FFFFFF" w:themeColor="background1"/>
                <w:sz w:val="20"/>
                <w:szCs w:val="20"/>
              </w:rPr>
            </w:pPr>
            <w:r w:rsidRPr="00FC2016">
              <w:rPr>
                <w:rFonts w:ascii="Times New Roman" w:hAnsi="Times New Roman" w:cs="Times New Roman"/>
                <w:bCs/>
                <w:color w:val="FFFFFF" w:themeColor="background1"/>
                <w:sz w:val="20"/>
                <w:szCs w:val="20"/>
              </w:rPr>
              <w:t>2012-2030</w:t>
            </w:r>
          </w:p>
        </w:tc>
        <w:tc>
          <w:tcPr>
            <w:tcW w:w="960" w:type="dxa"/>
            <w:shd w:val="clear" w:color="auto" w:fill="548DD4" w:themeFill="text2" w:themeFillTint="99"/>
          </w:tcPr>
          <w:p w14:paraId="2FEDEE6C" w14:textId="4473829B" w:rsidR="00DB6F80" w:rsidRPr="00FC2016" w:rsidRDefault="00DB6F80" w:rsidP="00BC7AEA">
            <w:pPr>
              <w:pStyle w:val="NoSpacing"/>
              <w:jc w:val="center"/>
              <w:rPr>
                <w:rFonts w:ascii="Times New Roman" w:hAnsi="Times New Roman" w:cs="Times New Roman"/>
                <w:bCs/>
                <w:color w:val="FFFFFF" w:themeColor="background1"/>
                <w:sz w:val="20"/>
                <w:szCs w:val="20"/>
              </w:rPr>
            </w:pPr>
            <w:r w:rsidRPr="00FC2016">
              <w:rPr>
                <w:rFonts w:ascii="Times New Roman" w:hAnsi="Times New Roman" w:cs="Times New Roman"/>
                <w:bCs/>
                <w:color w:val="FFFFFF" w:themeColor="background1"/>
                <w:sz w:val="20"/>
                <w:szCs w:val="20"/>
              </w:rPr>
              <w:t>2012-2040</w:t>
            </w:r>
          </w:p>
        </w:tc>
        <w:tc>
          <w:tcPr>
            <w:tcW w:w="960" w:type="dxa"/>
            <w:shd w:val="clear" w:color="auto" w:fill="548DD4" w:themeFill="text2" w:themeFillTint="99"/>
          </w:tcPr>
          <w:p w14:paraId="5D90DF24" w14:textId="3CC403A3" w:rsidR="00DB6F80" w:rsidRPr="00FC2016" w:rsidRDefault="00DB6F80" w:rsidP="00BC7AEA">
            <w:pPr>
              <w:pStyle w:val="NoSpacing"/>
              <w:jc w:val="center"/>
              <w:rPr>
                <w:rFonts w:ascii="Times New Roman" w:hAnsi="Times New Roman" w:cs="Times New Roman"/>
                <w:bCs/>
                <w:color w:val="FFFFFF" w:themeColor="background1"/>
                <w:sz w:val="20"/>
                <w:szCs w:val="20"/>
              </w:rPr>
            </w:pPr>
            <w:r w:rsidRPr="00FC2016">
              <w:rPr>
                <w:rFonts w:ascii="Times New Roman" w:hAnsi="Times New Roman" w:cs="Times New Roman"/>
                <w:bCs/>
                <w:color w:val="FFFFFF" w:themeColor="background1"/>
                <w:sz w:val="20"/>
                <w:szCs w:val="20"/>
              </w:rPr>
              <w:t xml:space="preserve">2012 </w:t>
            </w:r>
            <w:r w:rsidRPr="00FC2016">
              <w:rPr>
                <w:rFonts w:ascii="Times New Roman" w:hAnsi="Times New Roman" w:cs="Times New Roman"/>
                <w:bCs/>
                <w:color w:val="FFFFFF" w:themeColor="background1"/>
                <w:sz w:val="20"/>
                <w:szCs w:val="20"/>
              </w:rPr>
              <w:br/>
              <w:t>-2050</w:t>
            </w:r>
          </w:p>
        </w:tc>
      </w:tr>
      <w:tr w:rsidR="00DB6F80" w:rsidRPr="00241AAC" w14:paraId="7EBFDAF7" w14:textId="77777777" w:rsidTr="00241AAC">
        <w:trPr>
          <w:cnfStyle w:val="000000010000" w:firstRow="0" w:lastRow="0" w:firstColumn="0" w:lastColumn="0" w:oddVBand="0" w:evenVBand="0" w:oddHBand="0" w:evenHBand="1" w:firstRowFirstColumn="0" w:firstRowLastColumn="0" w:lastRowFirstColumn="0" w:lastRowLastColumn="0"/>
        </w:trPr>
        <w:tc>
          <w:tcPr>
            <w:tcW w:w="1743" w:type="dxa"/>
            <w:vMerge w:val="restart"/>
          </w:tcPr>
          <w:p w14:paraId="1E2C5FC9" w14:textId="7D8811CD"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Stationary Energy</w:t>
            </w:r>
          </w:p>
        </w:tc>
        <w:tc>
          <w:tcPr>
            <w:tcW w:w="2489" w:type="dxa"/>
          </w:tcPr>
          <w:p w14:paraId="276353C6" w14:textId="5FCCEF71"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Residential Buildings</w:t>
            </w:r>
          </w:p>
        </w:tc>
        <w:tc>
          <w:tcPr>
            <w:tcW w:w="2160" w:type="dxa"/>
          </w:tcPr>
          <w:p w14:paraId="28919DC9" w14:textId="5ED0470E"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Population</w:t>
            </w:r>
          </w:p>
        </w:tc>
        <w:tc>
          <w:tcPr>
            <w:tcW w:w="960" w:type="dxa"/>
          </w:tcPr>
          <w:p w14:paraId="755EED1A" w14:textId="18E84D7B"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0.62%</w:t>
            </w:r>
          </w:p>
        </w:tc>
        <w:tc>
          <w:tcPr>
            <w:tcW w:w="960" w:type="dxa"/>
          </w:tcPr>
          <w:p w14:paraId="14002C7C" w14:textId="167C7459"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0.55%</w:t>
            </w:r>
          </w:p>
        </w:tc>
        <w:tc>
          <w:tcPr>
            <w:tcW w:w="960" w:type="dxa"/>
          </w:tcPr>
          <w:p w14:paraId="55BAEA6A" w14:textId="6F87FA39"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0.55%</w:t>
            </w:r>
          </w:p>
        </w:tc>
      </w:tr>
      <w:tr w:rsidR="00DB6F80" w:rsidRPr="00241AAC" w14:paraId="5068A9F0" w14:textId="77777777" w:rsidTr="00241AAC">
        <w:trPr>
          <w:cnfStyle w:val="000000100000" w:firstRow="0" w:lastRow="0" w:firstColumn="0" w:lastColumn="0" w:oddVBand="0" w:evenVBand="0" w:oddHBand="1" w:evenHBand="0" w:firstRowFirstColumn="0" w:firstRowLastColumn="0" w:lastRowFirstColumn="0" w:lastRowLastColumn="0"/>
        </w:trPr>
        <w:tc>
          <w:tcPr>
            <w:tcW w:w="1743" w:type="dxa"/>
            <w:vMerge/>
          </w:tcPr>
          <w:p w14:paraId="21403C9B" w14:textId="72601081" w:rsidR="00DB6F80" w:rsidRPr="00241AAC" w:rsidRDefault="00DB6F80" w:rsidP="00BC7AEA">
            <w:pPr>
              <w:pStyle w:val="NoSpacing"/>
              <w:jc w:val="center"/>
              <w:rPr>
                <w:rFonts w:ascii="Times New Roman" w:hAnsi="Times New Roman" w:cs="Times New Roman"/>
                <w:sz w:val="20"/>
                <w:szCs w:val="20"/>
              </w:rPr>
            </w:pPr>
          </w:p>
        </w:tc>
        <w:tc>
          <w:tcPr>
            <w:tcW w:w="2489" w:type="dxa"/>
          </w:tcPr>
          <w:p w14:paraId="3861B7FD" w14:textId="540ABC1C"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Commercial &amp; Institutional Buildings and Facilities</w:t>
            </w:r>
          </w:p>
        </w:tc>
        <w:tc>
          <w:tcPr>
            <w:tcW w:w="2160" w:type="dxa"/>
          </w:tcPr>
          <w:p w14:paraId="17DC28CC" w14:textId="7742DFA4"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Jobs</w:t>
            </w:r>
          </w:p>
        </w:tc>
        <w:tc>
          <w:tcPr>
            <w:tcW w:w="960" w:type="dxa"/>
          </w:tcPr>
          <w:p w14:paraId="7415E350" w14:textId="18E02C64"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0.52%</w:t>
            </w:r>
          </w:p>
        </w:tc>
        <w:tc>
          <w:tcPr>
            <w:tcW w:w="960" w:type="dxa"/>
          </w:tcPr>
          <w:p w14:paraId="7F1C5530" w14:textId="70E5DF23"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0.52%</w:t>
            </w:r>
          </w:p>
        </w:tc>
        <w:tc>
          <w:tcPr>
            <w:tcW w:w="960" w:type="dxa"/>
          </w:tcPr>
          <w:p w14:paraId="06BE5FAA" w14:textId="3DAE3AB9"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0.47%</w:t>
            </w:r>
          </w:p>
        </w:tc>
      </w:tr>
      <w:tr w:rsidR="00DB6F80" w:rsidRPr="00241AAC" w14:paraId="1199F122" w14:textId="77777777" w:rsidTr="00241AAC">
        <w:trPr>
          <w:cnfStyle w:val="000000010000" w:firstRow="0" w:lastRow="0" w:firstColumn="0" w:lastColumn="0" w:oddVBand="0" w:evenVBand="0" w:oddHBand="0" w:evenHBand="1" w:firstRowFirstColumn="0" w:firstRowLastColumn="0" w:lastRowFirstColumn="0" w:lastRowLastColumn="0"/>
        </w:trPr>
        <w:tc>
          <w:tcPr>
            <w:tcW w:w="1743" w:type="dxa"/>
            <w:vMerge/>
          </w:tcPr>
          <w:p w14:paraId="5A4C4A55" w14:textId="05D7AD61" w:rsidR="00DB6F80" w:rsidRPr="00241AAC" w:rsidRDefault="00DB6F80" w:rsidP="00BC7AEA">
            <w:pPr>
              <w:pStyle w:val="NoSpacing"/>
              <w:jc w:val="center"/>
              <w:rPr>
                <w:rFonts w:ascii="Times New Roman" w:hAnsi="Times New Roman" w:cs="Times New Roman"/>
                <w:sz w:val="20"/>
                <w:szCs w:val="20"/>
              </w:rPr>
            </w:pPr>
          </w:p>
        </w:tc>
        <w:tc>
          <w:tcPr>
            <w:tcW w:w="2489" w:type="dxa"/>
          </w:tcPr>
          <w:p w14:paraId="3BCC792B" w14:textId="3ADF53E4"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Manufacturing Industries and Construction</w:t>
            </w:r>
          </w:p>
        </w:tc>
        <w:tc>
          <w:tcPr>
            <w:tcW w:w="2160" w:type="dxa"/>
          </w:tcPr>
          <w:p w14:paraId="2E513BBE" w14:textId="5B8A8492"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Population &amp; Jobs</w:t>
            </w:r>
          </w:p>
        </w:tc>
        <w:tc>
          <w:tcPr>
            <w:tcW w:w="960" w:type="dxa"/>
          </w:tcPr>
          <w:p w14:paraId="7D6DA8AF" w14:textId="600FB288"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0.57%</w:t>
            </w:r>
          </w:p>
        </w:tc>
        <w:tc>
          <w:tcPr>
            <w:tcW w:w="960" w:type="dxa"/>
          </w:tcPr>
          <w:p w14:paraId="5BA72908" w14:textId="5540F7C0"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c>
          <w:tcPr>
            <w:tcW w:w="960" w:type="dxa"/>
          </w:tcPr>
          <w:p w14:paraId="72ED3868" w14:textId="386D739E"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r>
      <w:tr w:rsidR="00DB6F80" w:rsidRPr="00241AAC" w14:paraId="62F1CF3F" w14:textId="77777777" w:rsidTr="00241AAC">
        <w:trPr>
          <w:cnfStyle w:val="000000100000" w:firstRow="0" w:lastRow="0" w:firstColumn="0" w:lastColumn="0" w:oddVBand="0" w:evenVBand="0" w:oddHBand="1" w:evenHBand="0" w:firstRowFirstColumn="0" w:firstRowLastColumn="0" w:lastRowFirstColumn="0" w:lastRowLastColumn="0"/>
        </w:trPr>
        <w:tc>
          <w:tcPr>
            <w:tcW w:w="1743" w:type="dxa"/>
            <w:vMerge/>
          </w:tcPr>
          <w:p w14:paraId="59C468DC" w14:textId="150898B9" w:rsidR="00DB6F80" w:rsidRPr="00241AAC" w:rsidRDefault="00DB6F80" w:rsidP="00BC7AEA">
            <w:pPr>
              <w:pStyle w:val="NoSpacing"/>
              <w:jc w:val="center"/>
              <w:rPr>
                <w:rFonts w:ascii="Times New Roman" w:hAnsi="Times New Roman" w:cs="Times New Roman"/>
                <w:sz w:val="20"/>
                <w:szCs w:val="20"/>
              </w:rPr>
            </w:pPr>
          </w:p>
        </w:tc>
        <w:tc>
          <w:tcPr>
            <w:tcW w:w="2489" w:type="dxa"/>
          </w:tcPr>
          <w:p w14:paraId="5EF7B303" w14:textId="3577AB0B"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Energy Industries</w:t>
            </w:r>
            <w:r w:rsidR="00F63862" w:rsidRPr="00241AAC">
              <w:rPr>
                <w:rFonts w:ascii="Times New Roman" w:hAnsi="Times New Roman" w:cs="Times New Roman"/>
                <w:sz w:val="20"/>
                <w:szCs w:val="20"/>
              </w:rPr>
              <w:t>*</w:t>
            </w:r>
          </w:p>
        </w:tc>
        <w:tc>
          <w:tcPr>
            <w:tcW w:w="2160" w:type="dxa"/>
          </w:tcPr>
          <w:p w14:paraId="5F9B53ED" w14:textId="3D708533" w:rsidR="00DB6F80" w:rsidRPr="00241AAC" w:rsidRDefault="00FC2016" w:rsidP="00BC7AEA">
            <w:pPr>
              <w:pStyle w:val="NoSpacing"/>
              <w:jc w:val="center"/>
              <w:rPr>
                <w:rFonts w:ascii="Times New Roman" w:hAnsi="Times New Roman" w:cs="Times New Roman"/>
                <w:sz w:val="20"/>
                <w:szCs w:val="20"/>
              </w:rPr>
            </w:pPr>
            <w:r>
              <w:rPr>
                <w:rFonts w:ascii="Times New Roman" w:hAnsi="Times New Roman" w:cs="Times New Roman"/>
                <w:sz w:val="20"/>
                <w:szCs w:val="20"/>
              </w:rPr>
              <w:t>Installed Capacity</w:t>
            </w:r>
          </w:p>
        </w:tc>
        <w:tc>
          <w:tcPr>
            <w:tcW w:w="960" w:type="dxa"/>
          </w:tcPr>
          <w:p w14:paraId="64EFA321" w14:textId="20B2BC7D" w:rsidR="00DB6F80" w:rsidRPr="00241AAC" w:rsidRDefault="00FC2016" w:rsidP="00BC7AEA">
            <w:pPr>
              <w:pStyle w:val="NoSpacing"/>
              <w:jc w:val="center"/>
              <w:rPr>
                <w:rFonts w:ascii="Times New Roman" w:hAnsi="Times New Roman" w:cs="Times New Roman"/>
                <w:sz w:val="20"/>
                <w:szCs w:val="20"/>
              </w:rPr>
            </w:pPr>
            <w:r>
              <w:rPr>
                <w:rFonts w:ascii="Times New Roman" w:hAnsi="Times New Roman" w:cs="Times New Roman"/>
                <w:sz w:val="20"/>
                <w:szCs w:val="20"/>
              </w:rPr>
              <w:t>1.99%</w:t>
            </w:r>
          </w:p>
        </w:tc>
        <w:tc>
          <w:tcPr>
            <w:tcW w:w="960" w:type="dxa"/>
          </w:tcPr>
          <w:p w14:paraId="3BB9F371" w14:textId="03F5BB6A" w:rsidR="00DB6F80" w:rsidRPr="00241AAC" w:rsidRDefault="00FC2016" w:rsidP="00BC7AEA">
            <w:pPr>
              <w:pStyle w:val="NoSpacing"/>
              <w:jc w:val="center"/>
              <w:rPr>
                <w:rFonts w:ascii="Times New Roman" w:hAnsi="Times New Roman" w:cs="Times New Roman"/>
                <w:sz w:val="20"/>
                <w:szCs w:val="20"/>
              </w:rPr>
            </w:pPr>
            <w:r>
              <w:rPr>
                <w:rFonts w:ascii="Times New Roman" w:hAnsi="Times New Roman" w:cs="Times New Roman"/>
                <w:sz w:val="20"/>
                <w:szCs w:val="20"/>
              </w:rPr>
              <w:t>1.27%</w:t>
            </w:r>
          </w:p>
        </w:tc>
        <w:tc>
          <w:tcPr>
            <w:tcW w:w="960" w:type="dxa"/>
          </w:tcPr>
          <w:p w14:paraId="585228BD" w14:textId="0523873C" w:rsidR="00DB6F80" w:rsidRPr="00241AAC" w:rsidRDefault="00FC2016" w:rsidP="00BC7AEA">
            <w:pPr>
              <w:pStyle w:val="NoSpacing"/>
              <w:jc w:val="center"/>
              <w:rPr>
                <w:rFonts w:ascii="Times New Roman" w:hAnsi="Times New Roman" w:cs="Times New Roman"/>
                <w:sz w:val="20"/>
                <w:szCs w:val="20"/>
              </w:rPr>
            </w:pPr>
            <w:r>
              <w:rPr>
                <w:rFonts w:ascii="Times New Roman" w:hAnsi="Times New Roman" w:cs="Times New Roman"/>
                <w:sz w:val="20"/>
                <w:szCs w:val="20"/>
              </w:rPr>
              <w:t>0.94%</w:t>
            </w:r>
          </w:p>
        </w:tc>
      </w:tr>
      <w:tr w:rsidR="00DB6F80" w:rsidRPr="00241AAC" w14:paraId="45EF390E" w14:textId="77777777" w:rsidTr="00241AAC">
        <w:trPr>
          <w:cnfStyle w:val="000000010000" w:firstRow="0" w:lastRow="0" w:firstColumn="0" w:lastColumn="0" w:oddVBand="0" w:evenVBand="0" w:oddHBand="0" w:evenHBand="1" w:firstRowFirstColumn="0" w:firstRowLastColumn="0" w:lastRowFirstColumn="0" w:lastRowLastColumn="0"/>
        </w:trPr>
        <w:tc>
          <w:tcPr>
            <w:tcW w:w="1743" w:type="dxa"/>
            <w:vMerge w:val="restart"/>
          </w:tcPr>
          <w:p w14:paraId="3CA7AC39" w14:textId="713C6CEA"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Transportation</w:t>
            </w:r>
          </w:p>
        </w:tc>
        <w:tc>
          <w:tcPr>
            <w:tcW w:w="2489" w:type="dxa"/>
          </w:tcPr>
          <w:p w14:paraId="0786CD12" w14:textId="5F8F4D45"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On-road</w:t>
            </w:r>
          </w:p>
        </w:tc>
        <w:tc>
          <w:tcPr>
            <w:tcW w:w="2160" w:type="dxa"/>
          </w:tcPr>
          <w:p w14:paraId="5975CE28" w14:textId="6A242851" w:rsidR="00DB6F80" w:rsidRPr="00241AAC" w:rsidRDefault="00DB6F8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Households</w:t>
            </w:r>
          </w:p>
        </w:tc>
        <w:tc>
          <w:tcPr>
            <w:tcW w:w="960" w:type="dxa"/>
          </w:tcPr>
          <w:p w14:paraId="1772AB3A" w14:textId="381CC0ED"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0.59%</w:t>
            </w:r>
          </w:p>
        </w:tc>
        <w:tc>
          <w:tcPr>
            <w:tcW w:w="960" w:type="dxa"/>
          </w:tcPr>
          <w:p w14:paraId="4D6D6E37" w14:textId="422209C8"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0.54%</w:t>
            </w:r>
          </w:p>
        </w:tc>
        <w:tc>
          <w:tcPr>
            <w:tcW w:w="960" w:type="dxa"/>
          </w:tcPr>
          <w:p w14:paraId="251F899E" w14:textId="2EDE14A6" w:rsidR="00DB6F8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0.54%</w:t>
            </w:r>
          </w:p>
        </w:tc>
      </w:tr>
      <w:tr w:rsidR="006C4520" w:rsidRPr="00241AAC" w14:paraId="231CE64C" w14:textId="77777777" w:rsidTr="00241AAC">
        <w:trPr>
          <w:cnfStyle w:val="000000100000" w:firstRow="0" w:lastRow="0" w:firstColumn="0" w:lastColumn="0" w:oddVBand="0" w:evenVBand="0" w:oddHBand="1" w:evenHBand="0" w:firstRowFirstColumn="0" w:firstRowLastColumn="0" w:lastRowFirstColumn="0" w:lastRowLastColumn="0"/>
        </w:trPr>
        <w:tc>
          <w:tcPr>
            <w:tcW w:w="1743" w:type="dxa"/>
            <w:vMerge/>
          </w:tcPr>
          <w:p w14:paraId="605E8528" w14:textId="098C1F09" w:rsidR="006C4520" w:rsidRPr="00241AAC" w:rsidRDefault="006C4520" w:rsidP="00BC7AEA">
            <w:pPr>
              <w:pStyle w:val="NoSpacing"/>
              <w:jc w:val="center"/>
              <w:rPr>
                <w:rFonts w:ascii="Times New Roman" w:hAnsi="Times New Roman" w:cs="Times New Roman"/>
                <w:sz w:val="20"/>
                <w:szCs w:val="20"/>
              </w:rPr>
            </w:pPr>
          </w:p>
        </w:tc>
        <w:tc>
          <w:tcPr>
            <w:tcW w:w="2489" w:type="dxa"/>
          </w:tcPr>
          <w:p w14:paraId="252749AB" w14:textId="17944854"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Rail</w:t>
            </w:r>
          </w:p>
        </w:tc>
        <w:tc>
          <w:tcPr>
            <w:tcW w:w="2160" w:type="dxa"/>
          </w:tcPr>
          <w:p w14:paraId="6F41DB71" w14:textId="082BA1AB"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Households</w:t>
            </w:r>
          </w:p>
        </w:tc>
        <w:tc>
          <w:tcPr>
            <w:tcW w:w="960" w:type="dxa"/>
          </w:tcPr>
          <w:p w14:paraId="4C8C7257" w14:textId="50D144B1"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0.59%</w:t>
            </w:r>
          </w:p>
        </w:tc>
        <w:tc>
          <w:tcPr>
            <w:tcW w:w="960" w:type="dxa"/>
          </w:tcPr>
          <w:p w14:paraId="2DC5AC22" w14:textId="074523A7"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0.54%</w:t>
            </w:r>
          </w:p>
        </w:tc>
        <w:tc>
          <w:tcPr>
            <w:tcW w:w="960" w:type="dxa"/>
          </w:tcPr>
          <w:p w14:paraId="430B49D9" w14:textId="02757FFC"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0.54%</w:t>
            </w:r>
          </w:p>
        </w:tc>
      </w:tr>
      <w:tr w:rsidR="006C4520" w:rsidRPr="00241AAC" w14:paraId="3ED34973" w14:textId="77777777" w:rsidTr="00241AAC">
        <w:trPr>
          <w:cnfStyle w:val="000000010000" w:firstRow="0" w:lastRow="0" w:firstColumn="0" w:lastColumn="0" w:oddVBand="0" w:evenVBand="0" w:oddHBand="0" w:evenHBand="1" w:firstRowFirstColumn="0" w:firstRowLastColumn="0" w:lastRowFirstColumn="0" w:lastRowLastColumn="0"/>
        </w:trPr>
        <w:tc>
          <w:tcPr>
            <w:tcW w:w="1743" w:type="dxa"/>
            <w:vMerge w:val="restart"/>
          </w:tcPr>
          <w:p w14:paraId="26BBAAA2" w14:textId="362B3CCD"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Waste</w:t>
            </w:r>
          </w:p>
        </w:tc>
        <w:tc>
          <w:tcPr>
            <w:tcW w:w="2489" w:type="dxa"/>
          </w:tcPr>
          <w:p w14:paraId="088DC519" w14:textId="2EA78673"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Solid Waste Disposal</w:t>
            </w:r>
          </w:p>
        </w:tc>
        <w:tc>
          <w:tcPr>
            <w:tcW w:w="2160" w:type="dxa"/>
          </w:tcPr>
          <w:p w14:paraId="41CF050E" w14:textId="655E27D3"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Population &amp; Jobs</w:t>
            </w:r>
          </w:p>
        </w:tc>
        <w:tc>
          <w:tcPr>
            <w:tcW w:w="960" w:type="dxa"/>
          </w:tcPr>
          <w:p w14:paraId="3E01D409" w14:textId="59B8F673"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0.57%</w:t>
            </w:r>
          </w:p>
        </w:tc>
        <w:tc>
          <w:tcPr>
            <w:tcW w:w="960" w:type="dxa"/>
          </w:tcPr>
          <w:p w14:paraId="3C6E4622" w14:textId="27D372B8"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c>
          <w:tcPr>
            <w:tcW w:w="960" w:type="dxa"/>
          </w:tcPr>
          <w:p w14:paraId="673030F6" w14:textId="75E4C79F"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r>
      <w:tr w:rsidR="006C4520" w:rsidRPr="00241AAC" w14:paraId="35D78701" w14:textId="77777777" w:rsidTr="00241AAC">
        <w:trPr>
          <w:cnfStyle w:val="000000100000" w:firstRow="0" w:lastRow="0" w:firstColumn="0" w:lastColumn="0" w:oddVBand="0" w:evenVBand="0" w:oddHBand="1" w:evenHBand="0" w:firstRowFirstColumn="0" w:firstRowLastColumn="0" w:lastRowFirstColumn="0" w:lastRowLastColumn="0"/>
        </w:trPr>
        <w:tc>
          <w:tcPr>
            <w:tcW w:w="1743" w:type="dxa"/>
            <w:vMerge/>
          </w:tcPr>
          <w:p w14:paraId="30E0F302" w14:textId="77777777" w:rsidR="006C4520" w:rsidRPr="00241AAC" w:rsidRDefault="006C4520" w:rsidP="00BC7AEA">
            <w:pPr>
              <w:pStyle w:val="NoSpacing"/>
              <w:jc w:val="center"/>
              <w:rPr>
                <w:rFonts w:ascii="Times New Roman" w:hAnsi="Times New Roman" w:cs="Times New Roman"/>
                <w:sz w:val="20"/>
                <w:szCs w:val="20"/>
              </w:rPr>
            </w:pPr>
          </w:p>
        </w:tc>
        <w:tc>
          <w:tcPr>
            <w:tcW w:w="2489" w:type="dxa"/>
          </w:tcPr>
          <w:p w14:paraId="40D7719D" w14:textId="6BDDABA3"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Incineration and Open Burning</w:t>
            </w:r>
          </w:p>
        </w:tc>
        <w:tc>
          <w:tcPr>
            <w:tcW w:w="2160" w:type="dxa"/>
          </w:tcPr>
          <w:p w14:paraId="242E5E5E" w14:textId="682AB2C6"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Population &amp; Jobs</w:t>
            </w:r>
          </w:p>
        </w:tc>
        <w:tc>
          <w:tcPr>
            <w:tcW w:w="960" w:type="dxa"/>
          </w:tcPr>
          <w:p w14:paraId="21E6F6D2" w14:textId="14D3011A"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0.57%</w:t>
            </w:r>
          </w:p>
        </w:tc>
        <w:tc>
          <w:tcPr>
            <w:tcW w:w="960" w:type="dxa"/>
          </w:tcPr>
          <w:p w14:paraId="1033F702" w14:textId="7DDE0787"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c>
          <w:tcPr>
            <w:tcW w:w="960" w:type="dxa"/>
          </w:tcPr>
          <w:p w14:paraId="34979262" w14:textId="49D3B204"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r>
      <w:tr w:rsidR="006C4520" w:rsidRPr="00241AAC" w14:paraId="6BEF8482" w14:textId="77777777" w:rsidTr="00241AAC">
        <w:trPr>
          <w:cnfStyle w:val="000000010000" w:firstRow="0" w:lastRow="0" w:firstColumn="0" w:lastColumn="0" w:oddVBand="0" w:evenVBand="0" w:oddHBand="0" w:evenHBand="1" w:firstRowFirstColumn="0" w:firstRowLastColumn="0" w:lastRowFirstColumn="0" w:lastRowLastColumn="0"/>
        </w:trPr>
        <w:tc>
          <w:tcPr>
            <w:tcW w:w="1743" w:type="dxa"/>
            <w:vMerge/>
          </w:tcPr>
          <w:p w14:paraId="2862FD31" w14:textId="77777777" w:rsidR="006C4520" w:rsidRPr="00241AAC" w:rsidRDefault="006C4520" w:rsidP="00BC7AEA">
            <w:pPr>
              <w:pStyle w:val="NoSpacing"/>
              <w:jc w:val="center"/>
              <w:rPr>
                <w:rFonts w:ascii="Times New Roman" w:hAnsi="Times New Roman" w:cs="Times New Roman"/>
                <w:sz w:val="20"/>
                <w:szCs w:val="20"/>
              </w:rPr>
            </w:pPr>
          </w:p>
        </w:tc>
        <w:tc>
          <w:tcPr>
            <w:tcW w:w="2489" w:type="dxa"/>
          </w:tcPr>
          <w:p w14:paraId="789813BE" w14:textId="320E7F75"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Wastewater Treatment and Discharge</w:t>
            </w:r>
          </w:p>
        </w:tc>
        <w:tc>
          <w:tcPr>
            <w:tcW w:w="2160" w:type="dxa"/>
          </w:tcPr>
          <w:p w14:paraId="7D3A6325" w14:textId="49195010"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Population &amp; Jobs</w:t>
            </w:r>
          </w:p>
        </w:tc>
        <w:tc>
          <w:tcPr>
            <w:tcW w:w="960" w:type="dxa"/>
          </w:tcPr>
          <w:p w14:paraId="43FA7DB3" w14:textId="249BE7D5"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0.57%</w:t>
            </w:r>
          </w:p>
        </w:tc>
        <w:tc>
          <w:tcPr>
            <w:tcW w:w="960" w:type="dxa"/>
          </w:tcPr>
          <w:p w14:paraId="3FE57195" w14:textId="0C19977F"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c>
          <w:tcPr>
            <w:tcW w:w="960" w:type="dxa"/>
          </w:tcPr>
          <w:p w14:paraId="7BB50E38" w14:textId="4CD590B1" w:rsidR="006C4520" w:rsidRPr="00241AAC" w:rsidRDefault="006C4520" w:rsidP="00BC7AEA">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0.51%</w:t>
            </w:r>
          </w:p>
        </w:tc>
      </w:tr>
      <w:tr w:rsidR="006C4520" w:rsidRPr="00241AAC" w14:paraId="7CEC6BD3" w14:textId="77777777" w:rsidTr="00241AAC">
        <w:trPr>
          <w:cnfStyle w:val="000000100000" w:firstRow="0" w:lastRow="0" w:firstColumn="0" w:lastColumn="0" w:oddVBand="0" w:evenVBand="0" w:oddHBand="1" w:evenHBand="0" w:firstRowFirstColumn="0" w:firstRowLastColumn="0" w:lastRowFirstColumn="0" w:lastRowLastColumn="0"/>
        </w:trPr>
        <w:tc>
          <w:tcPr>
            <w:tcW w:w="6392" w:type="dxa"/>
            <w:gridSpan w:val="3"/>
          </w:tcPr>
          <w:p w14:paraId="51A48B2C" w14:textId="4FB0089F" w:rsidR="006C4520" w:rsidRPr="00241AAC" w:rsidRDefault="006C4520" w:rsidP="00BC7AEA">
            <w:pPr>
              <w:pStyle w:val="NoSpacing"/>
              <w:jc w:val="center"/>
              <w:rPr>
                <w:rFonts w:ascii="Times New Roman" w:hAnsi="Times New Roman" w:cs="Times New Roman"/>
                <w:bCs/>
                <w:sz w:val="20"/>
                <w:szCs w:val="20"/>
              </w:rPr>
            </w:pPr>
            <w:r w:rsidRPr="00241AAC">
              <w:rPr>
                <w:rFonts w:ascii="Times New Roman" w:hAnsi="Times New Roman" w:cs="Times New Roman"/>
                <w:bCs/>
                <w:sz w:val="20"/>
                <w:szCs w:val="20"/>
              </w:rPr>
              <w:t>All Subsectors Weighted Average Growth Rate</w:t>
            </w:r>
          </w:p>
        </w:tc>
        <w:tc>
          <w:tcPr>
            <w:tcW w:w="960" w:type="dxa"/>
          </w:tcPr>
          <w:p w14:paraId="307BFCF7" w14:textId="3F07C557" w:rsidR="006C4520" w:rsidRPr="00241AAC" w:rsidRDefault="006C4520" w:rsidP="00BC7AEA">
            <w:pPr>
              <w:pStyle w:val="NoSpacing"/>
              <w:jc w:val="center"/>
              <w:rPr>
                <w:rFonts w:ascii="Times New Roman" w:hAnsi="Times New Roman" w:cs="Times New Roman"/>
                <w:bCs/>
                <w:sz w:val="20"/>
                <w:szCs w:val="20"/>
              </w:rPr>
            </w:pPr>
            <w:r w:rsidRPr="00241AAC">
              <w:rPr>
                <w:rFonts w:ascii="Times New Roman" w:hAnsi="Times New Roman" w:cs="Times New Roman"/>
                <w:bCs/>
                <w:sz w:val="20"/>
                <w:szCs w:val="20"/>
              </w:rPr>
              <w:t>0.</w:t>
            </w:r>
            <w:r w:rsidR="00FC2016">
              <w:rPr>
                <w:rFonts w:ascii="Times New Roman" w:hAnsi="Times New Roman" w:cs="Times New Roman"/>
                <w:bCs/>
                <w:sz w:val="20"/>
                <w:szCs w:val="20"/>
              </w:rPr>
              <w:t>77</w:t>
            </w:r>
            <w:r w:rsidRPr="00241AAC">
              <w:rPr>
                <w:rFonts w:ascii="Times New Roman" w:hAnsi="Times New Roman" w:cs="Times New Roman"/>
                <w:bCs/>
                <w:sz w:val="20"/>
                <w:szCs w:val="20"/>
              </w:rPr>
              <w:t>%</w:t>
            </w:r>
          </w:p>
        </w:tc>
        <w:tc>
          <w:tcPr>
            <w:tcW w:w="960" w:type="dxa"/>
          </w:tcPr>
          <w:p w14:paraId="2AECDD6D" w14:textId="282A6B74" w:rsidR="006C4520" w:rsidRPr="00241AAC" w:rsidRDefault="006C4520" w:rsidP="00BC7AEA">
            <w:pPr>
              <w:pStyle w:val="NoSpacing"/>
              <w:jc w:val="center"/>
              <w:rPr>
                <w:rFonts w:ascii="Times New Roman" w:hAnsi="Times New Roman" w:cs="Times New Roman"/>
                <w:bCs/>
                <w:sz w:val="20"/>
                <w:szCs w:val="20"/>
              </w:rPr>
            </w:pPr>
            <w:r w:rsidRPr="00241AAC">
              <w:rPr>
                <w:rFonts w:ascii="Times New Roman" w:hAnsi="Times New Roman" w:cs="Times New Roman"/>
                <w:bCs/>
                <w:sz w:val="20"/>
                <w:szCs w:val="20"/>
              </w:rPr>
              <w:t>0.</w:t>
            </w:r>
            <w:r w:rsidR="00FC2016">
              <w:rPr>
                <w:rFonts w:ascii="Times New Roman" w:hAnsi="Times New Roman" w:cs="Times New Roman"/>
                <w:bCs/>
                <w:sz w:val="20"/>
                <w:szCs w:val="20"/>
              </w:rPr>
              <w:t>61</w:t>
            </w:r>
            <w:r w:rsidRPr="00241AAC">
              <w:rPr>
                <w:rFonts w:ascii="Times New Roman" w:hAnsi="Times New Roman" w:cs="Times New Roman"/>
                <w:bCs/>
                <w:sz w:val="20"/>
                <w:szCs w:val="20"/>
              </w:rPr>
              <w:t>%</w:t>
            </w:r>
          </w:p>
        </w:tc>
        <w:tc>
          <w:tcPr>
            <w:tcW w:w="960" w:type="dxa"/>
          </w:tcPr>
          <w:p w14:paraId="1FA44B60" w14:textId="7E691A9A" w:rsidR="006C4520" w:rsidRPr="00241AAC" w:rsidRDefault="006C4520" w:rsidP="00BC7AEA">
            <w:pPr>
              <w:pStyle w:val="NoSpacing"/>
              <w:jc w:val="center"/>
              <w:rPr>
                <w:rFonts w:ascii="Times New Roman" w:hAnsi="Times New Roman" w:cs="Times New Roman"/>
                <w:bCs/>
                <w:sz w:val="20"/>
                <w:szCs w:val="20"/>
              </w:rPr>
            </w:pPr>
            <w:r w:rsidRPr="00241AAC">
              <w:rPr>
                <w:rFonts w:ascii="Times New Roman" w:hAnsi="Times New Roman" w:cs="Times New Roman"/>
                <w:bCs/>
                <w:sz w:val="20"/>
                <w:szCs w:val="20"/>
              </w:rPr>
              <w:t>0.</w:t>
            </w:r>
            <w:r w:rsidR="00FC2016">
              <w:rPr>
                <w:rFonts w:ascii="Times New Roman" w:hAnsi="Times New Roman" w:cs="Times New Roman"/>
                <w:bCs/>
                <w:sz w:val="20"/>
                <w:szCs w:val="20"/>
              </w:rPr>
              <w:t>56</w:t>
            </w:r>
            <w:r w:rsidRPr="00241AAC">
              <w:rPr>
                <w:rFonts w:ascii="Times New Roman" w:hAnsi="Times New Roman" w:cs="Times New Roman"/>
                <w:bCs/>
                <w:sz w:val="20"/>
                <w:szCs w:val="20"/>
              </w:rPr>
              <w:t>%</w:t>
            </w:r>
          </w:p>
        </w:tc>
      </w:tr>
    </w:tbl>
    <w:p w14:paraId="463D84D8" w14:textId="544F1E04" w:rsidR="005646CD" w:rsidRDefault="00F63862" w:rsidP="00862A6B">
      <w:pPr>
        <w:pStyle w:val="ParaText"/>
        <w:spacing w:line="240" w:lineRule="auto"/>
      </w:pPr>
      <w:r>
        <w:t xml:space="preserve">*Energy industry growth based on planned or installed capacities </w:t>
      </w:r>
      <w:r w:rsidR="0064341D">
        <w:t>after</w:t>
      </w:r>
      <w:r>
        <w:t xml:space="preserve"> 2012</w:t>
      </w:r>
    </w:p>
    <w:p w14:paraId="3853E519" w14:textId="65A4183E" w:rsidR="00C26E42" w:rsidRDefault="00C26E42" w:rsidP="00862A6B">
      <w:pPr>
        <w:pStyle w:val="ParaText"/>
        <w:spacing w:line="240" w:lineRule="auto"/>
        <w:sectPr w:rsidR="00C26E42">
          <w:headerReference w:type="default" r:id="rId15"/>
          <w:footerReference w:type="default" r:id="rId16"/>
          <w:pgSz w:w="12240" w:h="15840"/>
          <w:pgMar w:top="1440" w:right="1440" w:bottom="1440" w:left="1440" w:header="720" w:footer="720" w:gutter="0"/>
          <w:cols w:space="720"/>
          <w:docGrid w:linePitch="360"/>
        </w:sectPr>
      </w:pPr>
      <w:r w:rsidRPr="001C70FC">
        <w:rPr>
          <w:sz w:val="24"/>
        </w:rPr>
        <w:fldChar w:fldCharType="begin"/>
      </w:r>
      <w:r w:rsidRPr="001C70FC">
        <w:rPr>
          <w:sz w:val="24"/>
        </w:rPr>
        <w:instrText xml:space="preserve"> REF _Ref472083477 \h </w:instrText>
      </w:r>
      <w:r w:rsidR="001C70FC">
        <w:rPr>
          <w:sz w:val="24"/>
        </w:rPr>
        <w:instrText xml:space="preserve"> \* MERGEFORMAT </w:instrText>
      </w:r>
      <w:r w:rsidRPr="001C70FC">
        <w:rPr>
          <w:sz w:val="24"/>
        </w:rPr>
      </w:r>
      <w:r w:rsidRPr="001C70FC">
        <w:rPr>
          <w:sz w:val="24"/>
        </w:rPr>
        <w:fldChar w:fldCharType="separate"/>
      </w:r>
      <w:r w:rsidR="004537D3" w:rsidRPr="004537D3">
        <w:rPr>
          <w:szCs w:val="20"/>
        </w:rPr>
        <w:t xml:space="preserve">Table </w:t>
      </w:r>
      <w:r w:rsidR="004537D3" w:rsidRPr="004537D3">
        <w:rPr>
          <w:noProof/>
          <w:szCs w:val="20"/>
        </w:rPr>
        <w:t>17</w:t>
      </w:r>
      <w:r w:rsidRPr="001C70FC">
        <w:rPr>
          <w:sz w:val="24"/>
        </w:rPr>
        <w:fldChar w:fldCharType="end"/>
      </w:r>
      <w:r>
        <w:t xml:space="preserve"> summarizes the 2012 baseline emissions, annual growth rates used to project BAU emissions growth and projected BAU emissions by subsector. </w:t>
      </w:r>
    </w:p>
    <w:p w14:paraId="3325DE9F" w14:textId="77777777" w:rsidR="005646CD" w:rsidRDefault="005646CD" w:rsidP="00862A6B">
      <w:pPr>
        <w:pStyle w:val="ParaText"/>
        <w:spacing w:line="240" w:lineRule="auto"/>
        <w:rPr>
          <w:rFonts w:ascii="Calibri" w:hAnsi="Calibri" w:cs="Calibri"/>
        </w:rPr>
      </w:pPr>
    </w:p>
    <w:p w14:paraId="6035B094" w14:textId="6342F3AA" w:rsidR="00862A6B" w:rsidRPr="00241AAC" w:rsidDel="005646CD" w:rsidRDefault="00B17F4D" w:rsidP="00B17F4D">
      <w:pPr>
        <w:pStyle w:val="Caption"/>
        <w:rPr>
          <w:rFonts w:ascii="Calibri" w:hAnsi="Calibri" w:cs="Calibri"/>
          <w:sz w:val="20"/>
          <w:szCs w:val="20"/>
        </w:rPr>
      </w:pPr>
      <w:bookmarkStart w:id="57" w:name="_Ref472083477"/>
      <w:r w:rsidRPr="00241AAC">
        <w:rPr>
          <w:sz w:val="20"/>
          <w:szCs w:val="20"/>
        </w:rPr>
        <w:t xml:space="preserve">Table </w:t>
      </w:r>
      <w:r w:rsidRPr="00241AAC">
        <w:rPr>
          <w:sz w:val="20"/>
          <w:szCs w:val="20"/>
        </w:rPr>
        <w:fldChar w:fldCharType="begin"/>
      </w:r>
      <w:r w:rsidRPr="00241AAC">
        <w:rPr>
          <w:sz w:val="20"/>
          <w:szCs w:val="20"/>
        </w:rPr>
        <w:instrText xml:space="preserve"> SEQ Table \* ARABIC </w:instrText>
      </w:r>
      <w:r w:rsidRPr="00241AAC">
        <w:rPr>
          <w:sz w:val="20"/>
          <w:szCs w:val="20"/>
        </w:rPr>
        <w:fldChar w:fldCharType="separate"/>
      </w:r>
      <w:r w:rsidR="00AD4785">
        <w:rPr>
          <w:noProof/>
          <w:sz w:val="20"/>
          <w:szCs w:val="20"/>
        </w:rPr>
        <w:t>17</w:t>
      </w:r>
      <w:r w:rsidRPr="00241AAC">
        <w:rPr>
          <w:sz w:val="20"/>
          <w:szCs w:val="20"/>
        </w:rPr>
        <w:fldChar w:fldCharType="end"/>
      </w:r>
      <w:bookmarkEnd w:id="57"/>
      <w:r w:rsidRPr="00241AAC">
        <w:rPr>
          <w:sz w:val="20"/>
          <w:szCs w:val="20"/>
        </w:rPr>
        <w:t>: 2012 Baseline Inventory and “Business as Usual” Emissions Forecast by Subsector</w:t>
      </w:r>
    </w:p>
    <w:tbl>
      <w:tblPr>
        <w:tblStyle w:val="TableGrid"/>
        <w:tblW w:w="15948" w:type="dxa"/>
        <w:tblLayout w:type="fixed"/>
        <w:tblLook w:val="04A0" w:firstRow="1" w:lastRow="0" w:firstColumn="1" w:lastColumn="0" w:noHBand="0" w:noVBand="1"/>
      </w:tblPr>
      <w:tblGrid>
        <w:gridCol w:w="2576"/>
        <w:gridCol w:w="3208"/>
        <w:gridCol w:w="1452"/>
        <w:gridCol w:w="1452"/>
        <w:gridCol w:w="1452"/>
        <w:gridCol w:w="1452"/>
        <w:gridCol w:w="1452"/>
        <w:gridCol w:w="1452"/>
        <w:gridCol w:w="1452"/>
      </w:tblGrid>
      <w:tr w:rsidR="005646CD" w:rsidRPr="005646CD" w14:paraId="23D1203E" w14:textId="77777777" w:rsidTr="0090592A">
        <w:trPr>
          <w:trHeight w:val="315"/>
        </w:trPr>
        <w:tc>
          <w:tcPr>
            <w:tcW w:w="2576" w:type="dxa"/>
            <w:vMerge w:val="restart"/>
            <w:shd w:val="clear" w:color="auto" w:fill="548DD4" w:themeFill="text2" w:themeFillTint="99"/>
            <w:vAlign w:val="center"/>
            <w:hideMark/>
          </w:tcPr>
          <w:p w14:paraId="4EDA3B53"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Sector</w:t>
            </w:r>
          </w:p>
        </w:tc>
        <w:tc>
          <w:tcPr>
            <w:tcW w:w="3208" w:type="dxa"/>
            <w:vMerge w:val="restart"/>
            <w:shd w:val="clear" w:color="auto" w:fill="548DD4" w:themeFill="text2" w:themeFillTint="99"/>
            <w:vAlign w:val="center"/>
            <w:hideMark/>
          </w:tcPr>
          <w:p w14:paraId="2522B685"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Subsector</w:t>
            </w:r>
          </w:p>
        </w:tc>
        <w:tc>
          <w:tcPr>
            <w:tcW w:w="1452" w:type="dxa"/>
            <w:shd w:val="clear" w:color="auto" w:fill="95B3D7" w:themeFill="accent1" w:themeFillTint="99"/>
            <w:vAlign w:val="center"/>
            <w:hideMark/>
          </w:tcPr>
          <w:p w14:paraId="3FC0DE37"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2012</w:t>
            </w:r>
          </w:p>
        </w:tc>
        <w:tc>
          <w:tcPr>
            <w:tcW w:w="2904" w:type="dxa"/>
            <w:gridSpan w:val="2"/>
            <w:tcBorders>
              <w:bottom w:val="single" w:sz="4" w:space="0" w:color="auto"/>
            </w:tcBorders>
            <w:shd w:val="clear" w:color="auto" w:fill="FBD4B4" w:themeFill="accent6" w:themeFillTint="66"/>
            <w:vAlign w:val="center"/>
            <w:hideMark/>
          </w:tcPr>
          <w:p w14:paraId="6519ABE9"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2030</w:t>
            </w:r>
          </w:p>
        </w:tc>
        <w:tc>
          <w:tcPr>
            <w:tcW w:w="2904" w:type="dxa"/>
            <w:gridSpan w:val="2"/>
            <w:tcBorders>
              <w:bottom w:val="single" w:sz="4" w:space="0" w:color="auto"/>
            </w:tcBorders>
            <w:shd w:val="clear" w:color="auto" w:fill="E5B8B7" w:themeFill="accent2" w:themeFillTint="66"/>
            <w:vAlign w:val="center"/>
            <w:hideMark/>
          </w:tcPr>
          <w:p w14:paraId="24E4F1DF"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2040</w:t>
            </w:r>
          </w:p>
        </w:tc>
        <w:tc>
          <w:tcPr>
            <w:tcW w:w="2904" w:type="dxa"/>
            <w:gridSpan w:val="2"/>
            <w:tcBorders>
              <w:bottom w:val="single" w:sz="4" w:space="0" w:color="auto"/>
            </w:tcBorders>
            <w:shd w:val="clear" w:color="auto" w:fill="E36C0A" w:themeFill="accent6" w:themeFillShade="BF"/>
            <w:vAlign w:val="center"/>
            <w:hideMark/>
          </w:tcPr>
          <w:p w14:paraId="7E1FC4E2"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2050</w:t>
            </w:r>
          </w:p>
        </w:tc>
      </w:tr>
      <w:tr w:rsidR="005646CD" w:rsidRPr="005646CD" w14:paraId="413E4E72" w14:textId="77777777" w:rsidTr="0090592A">
        <w:trPr>
          <w:trHeight w:val="615"/>
        </w:trPr>
        <w:tc>
          <w:tcPr>
            <w:tcW w:w="2576" w:type="dxa"/>
            <w:vMerge/>
            <w:shd w:val="clear" w:color="auto" w:fill="548DD4" w:themeFill="text2" w:themeFillTint="99"/>
            <w:vAlign w:val="center"/>
            <w:hideMark/>
          </w:tcPr>
          <w:p w14:paraId="28CEB408"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p>
        </w:tc>
        <w:tc>
          <w:tcPr>
            <w:tcW w:w="3208" w:type="dxa"/>
            <w:vMerge/>
            <w:tcBorders>
              <w:bottom w:val="single" w:sz="4" w:space="0" w:color="auto"/>
            </w:tcBorders>
            <w:shd w:val="clear" w:color="auto" w:fill="548DD4" w:themeFill="text2" w:themeFillTint="99"/>
            <w:vAlign w:val="center"/>
            <w:hideMark/>
          </w:tcPr>
          <w:p w14:paraId="1CDD51A7" w14:textId="77777777"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p>
        </w:tc>
        <w:tc>
          <w:tcPr>
            <w:tcW w:w="1452" w:type="dxa"/>
            <w:tcBorders>
              <w:bottom w:val="single" w:sz="4" w:space="0" w:color="auto"/>
            </w:tcBorders>
            <w:shd w:val="clear" w:color="auto" w:fill="95B3D7" w:themeFill="accent1" w:themeFillTint="99"/>
            <w:vAlign w:val="center"/>
            <w:hideMark/>
          </w:tcPr>
          <w:p w14:paraId="719236BA" w14:textId="333EBB83"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(MTCO</w:t>
            </w:r>
            <w:r w:rsidRPr="00862A6B">
              <w:rPr>
                <w:rFonts w:asciiTheme="majorBidi" w:hAnsiTheme="majorBidi" w:cstheme="majorBidi"/>
                <w:b/>
                <w:bCs/>
                <w:color w:val="FFFFFF" w:themeColor="background1"/>
                <w:sz w:val="18"/>
                <w:szCs w:val="18"/>
                <w:vertAlign w:val="subscript"/>
                <w:lang w:val="en-GB"/>
              </w:rPr>
              <w:t>2</w:t>
            </w:r>
            <w:r w:rsidRPr="00862A6B">
              <w:rPr>
                <w:rFonts w:asciiTheme="majorBidi" w:hAnsiTheme="majorBidi" w:cstheme="majorBidi"/>
                <w:b/>
                <w:bCs/>
                <w:color w:val="FFFFFF" w:themeColor="background1"/>
                <w:sz w:val="18"/>
                <w:szCs w:val="18"/>
                <w:lang w:val="en-GB"/>
              </w:rPr>
              <w:t>e)</w:t>
            </w:r>
          </w:p>
        </w:tc>
        <w:tc>
          <w:tcPr>
            <w:tcW w:w="1452" w:type="dxa"/>
            <w:tcBorders>
              <w:bottom w:val="single" w:sz="4" w:space="0" w:color="auto"/>
              <w:right w:val="dotted" w:sz="4" w:space="0" w:color="auto"/>
            </w:tcBorders>
            <w:shd w:val="clear" w:color="auto" w:fill="FBD4B4" w:themeFill="accent6" w:themeFillTint="66"/>
            <w:vAlign w:val="center"/>
            <w:hideMark/>
          </w:tcPr>
          <w:p w14:paraId="114A6D37" w14:textId="04008960"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 xml:space="preserve">Annual growth rate: </w:t>
            </w:r>
            <w:r w:rsidR="00862A6B" w:rsidRPr="00862A6B">
              <w:rPr>
                <w:rFonts w:asciiTheme="majorBidi" w:hAnsiTheme="majorBidi" w:cstheme="majorBidi"/>
                <w:b/>
                <w:bCs/>
                <w:color w:val="FFFFFF" w:themeColor="background1"/>
                <w:sz w:val="18"/>
                <w:szCs w:val="18"/>
                <w:lang w:val="en-GB"/>
              </w:rPr>
              <w:br/>
            </w:r>
            <w:r w:rsidRPr="00862A6B">
              <w:rPr>
                <w:rFonts w:asciiTheme="majorBidi" w:hAnsiTheme="majorBidi" w:cstheme="majorBidi"/>
                <w:b/>
                <w:bCs/>
                <w:color w:val="FFFFFF" w:themeColor="background1"/>
                <w:sz w:val="18"/>
                <w:szCs w:val="18"/>
                <w:lang w:val="en-GB"/>
              </w:rPr>
              <w:t>2012--&gt;2030</w:t>
            </w:r>
          </w:p>
        </w:tc>
        <w:tc>
          <w:tcPr>
            <w:tcW w:w="1452" w:type="dxa"/>
            <w:tcBorders>
              <w:left w:val="dotted" w:sz="4" w:space="0" w:color="auto"/>
              <w:bottom w:val="single" w:sz="4" w:space="0" w:color="auto"/>
            </w:tcBorders>
            <w:shd w:val="clear" w:color="auto" w:fill="FBD4B4" w:themeFill="accent6" w:themeFillTint="66"/>
            <w:vAlign w:val="center"/>
            <w:hideMark/>
          </w:tcPr>
          <w:p w14:paraId="6F4CA32E" w14:textId="08AC51EE"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(MTCO</w:t>
            </w:r>
            <w:r w:rsidRPr="00862A6B">
              <w:rPr>
                <w:rFonts w:asciiTheme="majorBidi" w:hAnsiTheme="majorBidi" w:cstheme="majorBidi"/>
                <w:b/>
                <w:bCs/>
                <w:color w:val="FFFFFF" w:themeColor="background1"/>
                <w:sz w:val="18"/>
                <w:szCs w:val="18"/>
                <w:vertAlign w:val="subscript"/>
                <w:lang w:val="en-GB"/>
              </w:rPr>
              <w:t>2</w:t>
            </w:r>
            <w:r w:rsidRPr="00862A6B">
              <w:rPr>
                <w:rFonts w:asciiTheme="majorBidi" w:hAnsiTheme="majorBidi" w:cstheme="majorBidi"/>
                <w:b/>
                <w:bCs/>
                <w:color w:val="FFFFFF" w:themeColor="background1"/>
                <w:sz w:val="18"/>
                <w:szCs w:val="18"/>
                <w:lang w:val="en-GB"/>
              </w:rPr>
              <w:t>e)</w:t>
            </w:r>
          </w:p>
        </w:tc>
        <w:tc>
          <w:tcPr>
            <w:tcW w:w="1452" w:type="dxa"/>
            <w:tcBorders>
              <w:bottom w:val="single" w:sz="4" w:space="0" w:color="auto"/>
              <w:right w:val="dotted" w:sz="4" w:space="0" w:color="auto"/>
            </w:tcBorders>
            <w:shd w:val="clear" w:color="auto" w:fill="E5B8B7" w:themeFill="accent2" w:themeFillTint="66"/>
            <w:vAlign w:val="center"/>
            <w:hideMark/>
          </w:tcPr>
          <w:p w14:paraId="6A1D117F" w14:textId="3DEECB31"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 xml:space="preserve">Annual growth rate: </w:t>
            </w:r>
            <w:r w:rsidR="00862A6B" w:rsidRPr="00862A6B">
              <w:rPr>
                <w:rFonts w:asciiTheme="majorBidi" w:hAnsiTheme="majorBidi" w:cstheme="majorBidi"/>
                <w:b/>
                <w:bCs/>
                <w:color w:val="FFFFFF" w:themeColor="background1"/>
                <w:sz w:val="18"/>
                <w:szCs w:val="18"/>
                <w:lang w:val="en-GB"/>
              </w:rPr>
              <w:br/>
            </w:r>
            <w:r w:rsidRPr="00862A6B">
              <w:rPr>
                <w:rFonts w:asciiTheme="majorBidi" w:hAnsiTheme="majorBidi" w:cstheme="majorBidi"/>
                <w:b/>
                <w:bCs/>
                <w:color w:val="FFFFFF" w:themeColor="background1"/>
                <w:sz w:val="18"/>
                <w:szCs w:val="18"/>
                <w:lang w:val="en-GB"/>
              </w:rPr>
              <w:t>2012--&gt;2040</w:t>
            </w:r>
          </w:p>
        </w:tc>
        <w:tc>
          <w:tcPr>
            <w:tcW w:w="1452" w:type="dxa"/>
            <w:tcBorders>
              <w:left w:val="dotted" w:sz="4" w:space="0" w:color="auto"/>
              <w:bottom w:val="single" w:sz="4" w:space="0" w:color="auto"/>
            </w:tcBorders>
            <w:shd w:val="clear" w:color="auto" w:fill="E5B8B7" w:themeFill="accent2" w:themeFillTint="66"/>
            <w:vAlign w:val="center"/>
            <w:hideMark/>
          </w:tcPr>
          <w:p w14:paraId="783523A7" w14:textId="55CFD9EC"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(MTCO</w:t>
            </w:r>
            <w:r w:rsidRPr="00862A6B">
              <w:rPr>
                <w:rFonts w:asciiTheme="majorBidi" w:hAnsiTheme="majorBidi" w:cstheme="majorBidi"/>
                <w:b/>
                <w:bCs/>
                <w:color w:val="FFFFFF" w:themeColor="background1"/>
                <w:sz w:val="18"/>
                <w:szCs w:val="18"/>
                <w:vertAlign w:val="subscript"/>
                <w:lang w:val="en-GB"/>
              </w:rPr>
              <w:t>2</w:t>
            </w:r>
            <w:r w:rsidRPr="00862A6B">
              <w:rPr>
                <w:rFonts w:asciiTheme="majorBidi" w:hAnsiTheme="majorBidi" w:cstheme="majorBidi"/>
                <w:b/>
                <w:bCs/>
                <w:color w:val="FFFFFF" w:themeColor="background1"/>
                <w:sz w:val="18"/>
                <w:szCs w:val="18"/>
                <w:lang w:val="en-GB"/>
              </w:rPr>
              <w:t>e)</w:t>
            </w:r>
          </w:p>
        </w:tc>
        <w:tc>
          <w:tcPr>
            <w:tcW w:w="1452" w:type="dxa"/>
            <w:tcBorders>
              <w:bottom w:val="single" w:sz="4" w:space="0" w:color="auto"/>
              <w:right w:val="dotted" w:sz="4" w:space="0" w:color="auto"/>
            </w:tcBorders>
            <w:shd w:val="clear" w:color="auto" w:fill="E36C0A" w:themeFill="accent6" w:themeFillShade="BF"/>
            <w:vAlign w:val="center"/>
            <w:hideMark/>
          </w:tcPr>
          <w:p w14:paraId="29A5BACD" w14:textId="7FDC19DC"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 xml:space="preserve">Annual growth rate: </w:t>
            </w:r>
            <w:r w:rsidR="00862A6B" w:rsidRPr="00862A6B">
              <w:rPr>
                <w:rFonts w:asciiTheme="majorBidi" w:hAnsiTheme="majorBidi" w:cstheme="majorBidi"/>
                <w:b/>
                <w:bCs/>
                <w:color w:val="FFFFFF" w:themeColor="background1"/>
                <w:sz w:val="18"/>
                <w:szCs w:val="18"/>
                <w:lang w:val="en-GB"/>
              </w:rPr>
              <w:br/>
            </w:r>
            <w:r w:rsidRPr="00862A6B">
              <w:rPr>
                <w:rFonts w:asciiTheme="majorBidi" w:hAnsiTheme="majorBidi" w:cstheme="majorBidi"/>
                <w:b/>
                <w:bCs/>
                <w:color w:val="FFFFFF" w:themeColor="background1"/>
                <w:sz w:val="18"/>
                <w:szCs w:val="18"/>
                <w:lang w:val="en-GB"/>
              </w:rPr>
              <w:t>2012--&gt;2050</w:t>
            </w:r>
          </w:p>
        </w:tc>
        <w:tc>
          <w:tcPr>
            <w:tcW w:w="1452" w:type="dxa"/>
            <w:tcBorders>
              <w:left w:val="dotted" w:sz="4" w:space="0" w:color="auto"/>
              <w:bottom w:val="single" w:sz="4" w:space="0" w:color="auto"/>
            </w:tcBorders>
            <w:shd w:val="clear" w:color="auto" w:fill="E36C0A" w:themeFill="accent6" w:themeFillShade="BF"/>
            <w:vAlign w:val="center"/>
            <w:hideMark/>
          </w:tcPr>
          <w:p w14:paraId="55FC0AFC" w14:textId="21E810FF" w:rsidR="005646CD" w:rsidRPr="00862A6B" w:rsidRDefault="005646CD" w:rsidP="00862A6B">
            <w:pPr>
              <w:pStyle w:val="ParaText"/>
              <w:spacing w:line="240" w:lineRule="auto"/>
              <w:jc w:val="center"/>
              <w:rPr>
                <w:rFonts w:asciiTheme="majorBidi" w:hAnsiTheme="majorBidi" w:cstheme="majorBidi"/>
                <w:b/>
                <w:bCs/>
                <w:color w:val="FFFFFF" w:themeColor="background1"/>
                <w:sz w:val="18"/>
                <w:szCs w:val="18"/>
                <w:lang w:val="en-GB"/>
              </w:rPr>
            </w:pPr>
            <w:r w:rsidRPr="00862A6B">
              <w:rPr>
                <w:rFonts w:asciiTheme="majorBidi" w:hAnsiTheme="majorBidi" w:cstheme="majorBidi"/>
                <w:b/>
                <w:bCs/>
                <w:color w:val="FFFFFF" w:themeColor="background1"/>
                <w:sz w:val="18"/>
                <w:szCs w:val="18"/>
                <w:lang w:val="en-GB"/>
              </w:rPr>
              <w:t>(MTCO</w:t>
            </w:r>
            <w:r w:rsidRPr="00862A6B">
              <w:rPr>
                <w:rFonts w:asciiTheme="majorBidi" w:hAnsiTheme="majorBidi" w:cstheme="majorBidi"/>
                <w:b/>
                <w:bCs/>
                <w:color w:val="FFFFFF" w:themeColor="background1"/>
                <w:sz w:val="18"/>
                <w:szCs w:val="18"/>
                <w:vertAlign w:val="subscript"/>
                <w:lang w:val="en-GB"/>
              </w:rPr>
              <w:t>2</w:t>
            </w:r>
            <w:r w:rsidRPr="00862A6B">
              <w:rPr>
                <w:rFonts w:asciiTheme="majorBidi" w:hAnsiTheme="majorBidi" w:cstheme="majorBidi"/>
                <w:b/>
                <w:bCs/>
                <w:color w:val="FFFFFF" w:themeColor="background1"/>
                <w:sz w:val="18"/>
                <w:szCs w:val="18"/>
                <w:lang w:val="en-GB"/>
              </w:rPr>
              <w:t>e)</w:t>
            </w:r>
          </w:p>
        </w:tc>
      </w:tr>
      <w:tr w:rsidR="00F63862" w:rsidRPr="005646CD" w14:paraId="646F25AD" w14:textId="77777777" w:rsidTr="00B17F4D">
        <w:trPr>
          <w:trHeight w:val="576"/>
        </w:trPr>
        <w:tc>
          <w:tcPr>
            <w:tcW w:w="2576" w:type="dxa"/>
            <w:vMerge w:val="restart"/>
            <w:vAlign w:val="center"/>
            <w:hideMark/>
          </w:tcPr>
          <w:p w14:paraId="0E5450A5" w14:textId="77777777" w:rsidR="00F63862" w:rsidRPr="00862A6B" w:rsidRDefault="00F63862" w:rsidP="00F63862">
            <w:pPr>
              <w:pStyle w:val="ParaText"/>
              <w:spacing w:line="240" w:lineRule="auto"/>
              <w:jc w:val="center"/>
              <w:rPr>
                <w:rFonts w:asciiTheme="majorBidi" w:hAnsiTheme="majorBidi" w:cstheme="majorBidi"/>
                <w:b/>
                <w:bCs/>
                <w:sz w:val="18"/>
                <w:szCs w:val="18"/>
                <w:lang w:val="en-GB"/>
              </w:rPr>
            </w:pPr>
            <w:r w:rsidRPr="00862A6B">
              <w:rPr>
                <w:rFonts w:asciiTheme="majorBidi" w:hAnsiTheme="majorBidi" w:cstheme="majorBidi"/>
                <w:b/>
                <w:bCs/>
                <w:sz w:val="18"/>
                <w:szCs w:val="18"/>
                <w:lang w:val="en-GB"/>
              </w:rPr>
              <w:t>Stationary Energy</w:t>
            </w:r>
          </w:p>
        </w:tc>
        <w:tc>
          <w:tcPr>
            <w:tcW w:w="3208" w:type="dxa"/>
            <w:tcBorders>
              <w:bottom w:val="dotted" w:sz="4" w:space="0" w:color="auto"/>
            </w:tcBorders>
            <w:vAlign w:val="center"/>
            <w:hideMark/>
          </w:tcPr>
          <w:p w14:paraId="53A68CA0" w14:textId="77777777" w:rsidR="00F63862" w:rsidRPr="00862A6B" w:rsidRDefault="00F63862" w:rsidP="00F63862">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Residential Buildings</w:t>
            </w:r>
          </w:p>
        </w:tc>
        <w:tc>
          <w:tcPr>
            <w:tcW w:w="1452" w:type="dxa"/>
            <w:tcBorders>
              <w:bottom w:val="dotted" w:sz="4" w:space="0" w:color="auto"/>
            </w:tcBorders>
            <w:vAlign w:val="center"/>
            <w:hideMark/>
          </w:tcPr>
          <w:p w14:paraId="376DC94A" w14:textId="716F2490"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205,495</w:t>
            </w:r>
          </w:p>
        </w:tc>
        <w:tc>
          <w:tcPr>
            <w:tcW w:w="1452" w:type="dxa"/>
            <w:tcBorders>
              <w:bottom w:val="dotted" w:sz="4" w:space="0" w:color="auto"/>
              <w:right w:val="dotted" w:sz="4" w:space="0" w:color="auto"/>
            </w:tcBorders>
            <w:noWrap/>
            <w:vAlign w:val="center"/>
            <w:hideMark/>
          </w:tcPr>
          <w:p w14:paraId="09CFFCB2" w14:textId="4FDA9D20"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0.62%</w:t>
            </w:r>
          </w:p>
        </w:tc>
        <w:tc>
          <w:tcPr>
            <w:tcW w:w="1452" w:type="dxa"/>
            <w:tcBorders>
              <w:left w:val="dotted" w:sz="4" w:space="0" w:color="auto"/>
              <w:bottom w:val="dotted" w:sz="4" w:space="0" w:color="auto"/>
            </w:tcBorders>
            <w:noWrap/>
            <w:vAlign w:val="center"/>
            <w:hideMark/>
          </w:tcPr>
          <w:p w14:paraId="0B1DDFDB" w14:textId="10CAB55C"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229,598</w:t>
            </w:r>
          </w:p>
        </w:tc>
        <w:tc>
          <w:tcPr>
            <w:tcW w:w="1452" w:type="dxa"/>
            <w:tcBorders>
              <w:bottom w:val="dotted" w:sz="4" w:space="0" w:color="auto"/>
              <w:right w:val="dotted" w:sz="4" w:space="0" w:color="auto"/>
            </w:tcBorders>
            <w:noWrap/>
            <w:vAlign w:val="center"/>
            <w:hideMark/>
          </w:tcPr>
          <w:p w14:paraId="142187F6" w14:textId="4B9C5101"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0.55%</w:t>
            </w:r>
          </w:p>
        </w:tc>
        <w:tc>
          <w:tcPr>
            <w:tcW w:w="1452" w:type="dxa"/>
            <w:tcBorders>
              <w:left w:val="dotted" w:sz="4" w:space="0" w:color="auto"/>
              <w:bottom w:val="dotted" w:sz="4" w:space="0" w:color="auto"/>
            </w:tcBorders>
            <w:noWrap/>
            <w:vAlign w:val="center"/>
            <w:hideMark/>
          </w:tcPr>
          <w:p w14:paraId="6569B312" w14:textId="46DC7140"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239,622</w:t>
            </w:r>
          </w:p>
        </w:tc>
        <w:tc>
          <w:tcPr>
            <w:tcW w:w="1452" w:type="dxa"/>
            <w:tcBorders>
              <w:bottom w:val="dotted" w:sz="4" w:space="0" w:color="auto"/>
              <w:right w:val="dotted" w:sz="4" w:space="0" w:color="auto"/>
            </w:tcBorders>
            <w:noWrap/>
            <w:vAlign w:val="center"/>
            <w:hideMark/>
          </w:tcPr>
          <w:p w14:paraId="2307970D" w14:textId="11F16E95"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0.55%</w:t>
            </w:r>
          </w:p>
        </w:tc>
        <w:tc>
          <w:tcPr>
            <w:tcW w:w="1452" w:type="dxa"/>
            <w:tcBorders>
              <w:left w:val="dotted" w:sz="4" w:space="0" w:color="auto"/>
              <w:bottom w:val="dotted" w:sz="4" w:space="0" w:color="auto"/>
            </w:tcBorders>
            <w:noWrap/>
            <w:vAlign w:val="center"/>
            <w:hideMark/>
          </w:tcPr>
          <w:p w14:paraId="753A9B92" w14:textId="762C04CB"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253,138</w:t>
            </w:r>
          </w:p>
        </w:tc>
      </w:tr>
      <w:tr w:rsidR="00F63862" w:rsidRPr="005646CD" w14:paraId="66D7524A" w14:textId="77777777" w:rsidTr="00B17F4D">
        <w:trPr>
          <w:trHeight w:val="576"/>
        </w:trPr>
        <w:tc>
          <w:tcPr>
            <w:tcW w:w="2576" w:type="dxa"/>
            <w:vMerge/>
            <w:vAlign w:val="center"/>
            <w:hideMark/>
          </w:tcPr>
          <w:p w14:paraId="17053E6F" w14:textId="77777777" w:rsidR="00F63862" w:rsidRPr="00862A6B" w:rsidRDefault="00F63862" w:rsidP="00F63862">
            <w:pPr>
              <w:pStyle w:val="ParaText"/>
              <w:spacing w:line="240" w:lineRule="auto"/>
              <w:jc w:val="center"/>
              <w:rPr>
                <w:rFonts w:asciiTheme="majorBidi" w:hAnsiTheme="majorBidi" w:cstheme="majorBidi"/>
                <w:b/>
                <w:bCs/>
                <w:sz w:val="18"/>
                <w:szCs w:val="18"/>
                <w:lang w:val="en-GB"/>
              </w:rPr>
            </w:pPr>
          </w:p>
        </w:tc>
        <w:tc>
          <w:tcPr>
            <w:tcW w:w="3208" w:type="dxa"/>
            <w:tcBorders>
              <w:top w:val="dotted" w:sz="4" w:space="0" w:color="auto"/>
              <w:bottom w:val="dotted" w:sz="4" w:space="0" w:color="auto"/>
            </w:tcBorders>
            <w:vAlign w:val="center"/>
            <w:hideMark/>
          </w:tcPr>
          <w:p w14:paraId="3F38E0F8" w14:textId="77777777" w:rsidR="00F63862" w:rsidRPr="00862A6B" w:rsidRDefault="00F63862" w:rsidP="00F63862">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Commercial &amp; Institutional Buildings and Facilities</w:t>
            </w:r>
          </w:p>
        </w:tc>
        <w:tc>
          <w:tcPr>
            <w:tcW w:w="1452" w:type="dxa"/>
            <w:tcBorders>
              <w:top w:val="dotted" w:sz="4" w:space="0" w:color="auto"/>
              <w:bottom w:val="dotted" w:sz="4" w:space="0" w:color="auto"/>
            </w:tcBorders>
            <w:vAlign w:val="center"/>
            <w:hideMark/>
          </w:tcPr>
          <w:p w14:paraId="041B703A" w14:textId="11C0E891"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756,703</w:t>
            </w:r>
          </w:p>
        </w:tc>
        <w:tc>
          <w:tcPr>
            <w:tcW w:w="1452" w:type="dxa"/>
            <w:tcBorders>
              <w:top w:val="dotted" w:sz="4" w:space="0" w:color="auto"/>
              <w:bottom w:val="dotted" w:sz="4" w:space="0" w:color="auto"/>
              <w:right w:val="dotted" w:sz="4" w:space="0" w:color="auto"/>
            </w:tcBorders>
            <w:noWrap/>
            <w:vAlign w:val="center"/>
            <w:hideMark/>
          </w:tcPr>
          <w:p w14:paraId="2BAD044A" w14:textId="30A6D03A"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0.52%</w:t>
            </w:r>
          </w:p>
        </w:tc>
        <w:tc>
          <w:tcPr>
            <w:tcW w:w="1452" w:type="dxa"/>
            <w:tcBorders>
              <w:top w:val="dotted" w:sz="4" w:space="0" w:color="auto"/>
              <w:left w:val="dotted" w:sz="4" w:space="0" w:color="auto"/>
              <w:bottom w:val="dotted" w:sz="4" w:space="0" w:color="auto"/>
            </w:tcBorders>
            <w:noWrap/>
            <w:vAlign w:val="center"/>
            <w:hideMark/>
          </w:tcPr>
          <w:p w14:paraId="278A4C99" w14:textId="0A8F1AD7"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831,211</w:t>
            </w:r>
          </w:p>
        </w:tc>
        <w:tc>
          <w:tcPr>
            <w:tcW w:w="1452" w:type="dxa"/>
            <w:tcBorders>
              <w:top w:val="dotted" w:sz="4" w:space="0" w:color="auto"/>
              <w:bottom w:val="dotted" w:sz="4" w:space="0" w:color="auto"/>
              <w:right w:val="dotted" w:sz="4" w:space="0" w:color="auto"/>
            </w:tcBorders>
            <w:noWrap/>
            <w:vAlign w:val="center"/>
            <w:hideMark/>
          </w:tcPr>
          <w:p w14:paraId="7FA94885" w14:textId="2F054E72"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0.47%</w:t>
            </w:r>
          </w:p>
        </w:tc>
        <w:tc>
          <w:tcPr>
            <w:tcW w:w="1452" w:type="dxa"/>
            <w:tcBorders>
              <w:top w:val="dotted" w:sz="4" w:space="0" w:color="auto"/>
              <w:left w:val="dotted" w:sz="4" w:space="0" w:color="auto"/>
              <w:bottom w:val="dotted" w:sz="4" w:space="0" w:color="auto"/>
            </w:tcBorders>
            <w:noWrap/>
            <w:vAlign w:val="center"/>
            <w:hideMark/>
          </w:tcPr>
          <w:p w14:paraId="1C500656" w14:textId="799F48EC"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863,857</w:t>
            </w:r>
          </w:p>
        </w:tc>
        <w:tc>
          <w:tcPr>
            <w:tcW w:w="1452" w:type="dxa"/>
            <w:tcBorders>
              <w:top w:val="dotted" w:sz="4" w:space="0" w:color="auto"/>
              <w:bottom w:val="dotted" w:sz="4" w:space="0" w:color="auto"/>
              <w:right w:val="dotted" w:sz="4" w:space="0" w:color="auto"/>
            </w:tcBorders>
            <w:noWrap/>
            <w:vAlign w:val="center"/>
            <w:hideMark/>
          </w:tcPr>
          <w:p w14:paraId="450FD9FF" w14:textId="6EBD79F2"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0.47%</w:t>
            </w:r>
          </w:p>
        </w:tc>
        <w:tc>
          <w:tcPr>
            <w:tcW w:w="1452" w:type="dxa"/>
            <w:tcBorders>
              <w:top w:val="dotted" w:sz="4" w:space="0" w:color="auto"/>
              <w:left w:val="dotted" w:sz="4" w:space="0" w:color="auto"/>
              <w:bottom w:val="dotted" w:sz="4" w:space="0" w:color="auto"/>
            </w:tcBorders>
            <w:noWrap/>
            <w:vAlign w:val="center"/>
            <w:hideMark/>
          </w:tcPr>
          <w:p w14:paraId="0C2AF3CA" w14:textId="75FC2EA0"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905,698</w:t>
            </w:r>
          </w:p>
        </w:tc>
      </w:tr>
      <w:tr w:rsidR="00F63862" w:rsidRPr="005646CD" w14:paraId="01918482" w14:textId="77777777" w:rsidTr="00B17F4D">
        <w:trPr>
          <w:trHeight w:val="576"/>
        </w:trPr>
        <w:tc>
          <w:tcPr>
            <w:tcW w:w="2576" w:type="dxa"/>
            <w:vMerge/>
            <w:vAlign w:val="center"/>
            <w:hideMark/>
          </w:tcPr>
          <w:p w14:paraId="6D7CCCC7" w14:textId="77777777" w:rsidR="00F63862" w:rsidRPr="00862A6B" w:rsidRDefault="00F63862" w:rsidP="00F63862">
            <w:pPr>
              <w:pStyle w:val="ParaText"/>
              <w:spacing w:line="240" w:lineRule="auto"/>
              <w:jc w:val="center"/>
              <w:rPr>
                <w:rFonts w:asciiTheme="majorBidi" w:hAnsiTheme="majorBidi" w:cstheme="majorBidi"/>
                <w:b/>
                <w:bCs/>
                <w:sz w:val="18"/>
                <w:szCs w:val="18"/>
                <w:lang w:val="en-GB"/>
              </w:rPr>
            </w:pPr>
          </w:p>
        </w:tc>
        <w:tc>
          <w:tcPr>
            <w:tcW w:w="3208" w:type="dxa"/>
            <w:tcBorders>
              <w:top w:val="dotted" w:sz="4" w:space="0" w:color="auto"/>
              <w:bottom w:val="dotted" w:sz="4" w:space="0" w:color="auto"/>
            </w:tcBorders>
            <w:vAlign w:val="center"/>
            <w:hideMark/>
          </w:tcPr>
          <w:p w14:paraId="67C8DDB6" w14:textId="77777777" w:rsidR="00F63862" w:rsidRPr="00862A6B" w:rsidRDefault="00F63862" w:rsidP="00F63862">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Manufacturing Industries and Construction</w:t>
            </w:r>
          </w:p>
        </w:tc>
        <w:tc>
          <w:tcPr>
            <w:tcW w:w="1452" w:type="dxa"/>
            <w:tcBorders>
              <w:top w:val="dotted" w:sz="4" w:space="0" w:color="auto"/>
              <w:bottom w:val="dotted" w:sz="4" w:space="0" w:color="auto"/>
            </w:tcBorders>
            <w:vAlign w:val="center"/>
            <w:hideMark/>
          </w:tcPr>
          <w:p w14:paraId="1FEE6CDB" w14:textId="669597C0"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38,234</w:t>
            </w:r>
          </w:p>
        </w:tc>
        <w:tc>
          <w:tcPr>
            <w:tcW w:w="1452" w:type="dxa"/>
            <w:tcBorders>
              <w:top w:val="dotted" w:sz="4" w:space="0" w:color="auto"/>
              <w:bottom w:val="dotted" w:sz="4" w:space="0" w:color="auto"/>
              <w:right w:val="dotted" w:sz="4" w:space="0" w:color="auto"/>
            </w:tcBorders>
            <w:noWrap/>
            <w:vAlign w:val="center"/>
            <w:hideMark/>
          </w:tcPr>
          <w:p w14:paraId="18D2C9F4" w14:textId="13EB82AF"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0.57%</w:t>
            </w:r>
          </w:p>
        </w:tc>
        <w:tc>
          <w:tcPr>
            <w:tcW w:w="1452" w:type="dxa"/>
            <w:tcBorders>
              <w:top w:val="dotted" w:sz="4" w:space="0" w:color="auto"/>
              <w:left w:val="dotted" w:sz="4" w:space="0" w:color="auto"/>
              <w:bottom w:val="dotted" w:sz="4" w:space="0" w:color="auto"/>
            </w:tcBorders>
            <w:noWrap/>
            <w:vAlign w:val="center"/>
            <w:hideMark/>
          </w:tcPr>
          <w:p w14:paraId="699A588D" w14:textId="4D01368F"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42,358</w:t>
            </w:r>
          </w:p>
        </w:tc>
        <w:tc>
          <w:tcPr>
            <w:tcW w:w="1452" w:type="dxa"/>
            <w:tcBorders>
              <w:top w:val="dotted" w:sz="4" w:space="0" w:color="auto"/>
              <w:bottom w:val="dotted" w:sz="4" w:space="0" w:color="auto"/>
              <w:right w:val="dotted" w:sz="4" w:space="0" w:color="auto"/>
            </w:tcBorders>
            <w:noWrap/>
            <w:vAlign w:val="center"/>
            <w:hideMark/>
          </w:tcPr>
          <w:p w14:paraId="6143FAED" w14:textId="4296F4A0"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top w:val="dotted" w:sz="4" w:space="0" w:color="auto"/>
              <w:left w:val="dotted" w:sz="4" w:space="0" w:color="auto"/>
              <w:bottom w:val="dotted" w:sz="4" w:space="0" w:color="auto"/>
            </w:tcBorders>
            <w:noWrap/>
            <w:vAlign w:val="center"/>
            <w:hideMark/>
          </w:tcPr>
          <w:p w14:paraId="07FE50E9" w14:textId="34336E73"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44,114</w:t>
            </w:r>
          </w:p>
        </w:tc>
        <w:tc>
          <w:tcPr>
            <w:tcW w:w="1452" w:type="dxa"/>
            <w:tcBorders>
              <w:top w:val="dotted" w:sz="4" w:space="0" w:color="auto"/>
              <w:bottom w:val="dotted" w:sz="4" w:space="0" w:color="auto"/>
              <w:right w:val="dotted" w:sz="4" w:space="0" w:color="auto"/>
            </w:tcBorders>
            <w:noWrap/>
            <w:vAlign w:val="center"/>
            <w:hideMark/>
          </w:tcPr>
          <w:p w14:paraId="4272A2F5" w14:textId="342100D4"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top w:val="dotted" w:sz="4" w:space="0" w:color="auto"/>
              <w:left w:val="dotted" w:sz="4" w:space="0" w:color="auto"/>
              <w:bottom w:val="dotted" w:sz="4" w:space="0" w:color="auto"/>
            </w:tcBorders>
            <w:noWrap/>
            <w:vAlign w:val="center"/>
            <w:hideMark/>
          </w:tcPr>
          <w:p w14:paraId="42E26034" w14:textId="712990B1"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46,426</w:t>
            </w:r>
          </w:p>
        </w:tc>
      </w:tr>
      <w:tr w:rsidR="00FC2016" w:rsidRPr="005646CD" w14:paraId="0868DB09" w14:textId="77777777" w:rsidTr="00B17F4D">
        <w:trPr>
          <w:trHeight w:val="576"/>
        </w:trPr>
        <w:tc>
          <w:tcPr>
            <w:tcW w:w="2576" w:type="dxa"/>
            <w:vMerge/>
            <w:vAlign w:val="center"/>
            <w:hideMark/>
          </w:tcPr>
          <w:p w14:paraId="46952BFE" w14:textId="77777777" w:rsidR="00FC2016" w:rsidRPr="00862A6B" w:rsidRDefault="00FC2016" w:rsidP="00FC2016">
            <w:pPr>
              <w:pStyle w:val="ParaText"/>
              <w:spacing w:line="240" w:lineRule="auto"/>
              <w:jc w:val="center"/>
              <w:rPr>
                <w:rFonts w:asciiTheme="majorBidi" w:hAnsiTheme="majorBidi" w:cstheme="majorBidi"/>
                <w:b/>
                <w:bCs/>
                <w:sz w:val="18"/>
                <w:szCs w:val="18"/>
                <w:lang w:val="en-GB"/>
              </w:rPr>
            </w:pPr>
          </w:p>
        </w:tc>
        <w:tc>
          <w:tcPr>
            <w:tcW w:w="3208" w:type="dxa"/>
            <w:tcBorders>
              <w:top w:val="dotted" w:sz="4" w:space="0" w:color="auto"/>
              <w:bottom w:val="single" w:sz="4" w:space="0" w:color="auto"/>
            </w:tcBorders>
            <w:vAlign w:val="center"/>
            <w:hideMark/>
          </w:tcPr>
          <w:p w14:paraId="63C59506" w14:textId="77777777" w:rsidR="00FC2016" w:rsidRPr="00862A6B" w:rsidRDefault="00FC2016" w:rsidP="00FC2016">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Energy Industries</w:t>
            </w:r>
          </w:p>
        </w:tc>
        <w:tc>
          <w:tcPr>
            <w:tcW w:w="1452" w:type="dxa"/>
            <w:tcBorders>
              <w:top w:val="dotted" w:sz="4" w:space="0" w:color="auto"/>
              <w:bottom w:val="single" w:sz="4" w:space="0" w:color="auto"/>
            </w:tcBorders>
            <w:vAlign w:val="center"/>
            <w:hideMark/>
          </w:tcPr>
          <w:p w14:paraId="2DF3061C" w14:textId="212E8181"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194,907</w:t>
            </w:r>
          </w:p>
        </w:tc>
        <w:tc>
          <w:tcPr>
            <w:tcW w:w="1452" w:type="dxa"/>
            <w:tcBorders>
              <w:top w:val="dotted" w:sz="4" w:space="0" w:color="auto"/>
              <w:bottom w:val="single" w:sz="4" w:space="0" w:color="auto"/>
              <w:right w:val="dotted" w:sz="4" w:space="0" w:color="auto"/>
            </w:tcBorders>
            <w:noWrap/>
            <w:vAlign w:val="center"/>
            <w:hideMark/>
          </w:tcPr>
          <w:p w14:paraId="5F3E2E78" w14:textId="102AF993"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1.99%</w:t>
            </w:r>
          </w:p>
        </w:tc>
        <w:tc>
          <w:tcPr>
            <w:tcW w:w="1452" w:type="dxa"/>
            <w:tcBorders>
              <w:top w:val="dotted" w:sz="4" w:space="0" w:color="auto"/>
              <w:left w:val="dotted" w:sz="4" w:space="0" w:color="auto"/>
              <w:bottom w:val="single" w:sz="4" w:space="0" w:color="auto"/>
            </w:tcBorders>
            <w:noWrap/>
            <w:vAlign w:val="center"/>
            <w:hideMark/>
          </w:tcPr>
          <w:p w14:paraId="6F89AAAD" w14:textId="500087A9"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277,809</w:t>
            </w:r>
          </w:p>
        </w:tc>
        <w:tc>
          <w:tcPr>
            <w:tcW w:w="1452" w:type="dxa"/>
            <w:tcBorders>
              <w:top w:val="dotted" w:sz="4" w:space="0" w:color="auto"/>
              <w:bottom w:val="single" w:sz="4" w:space="0" w:color="auto"/>
              <w:right w:val="dotted" w:sz="4" w:space="0" w:color="auto"/>
            </w:tcBorders>
            <w:noWrap/>
            <w:vAlign w:val="center"/>
            <w:hideMark/>
          </w:tcPr>
          <w:p w14:paraId="0F659D12" w14:textId="3F61450C"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1.27%</w:t>
            </w:r>
          </w:p>
        </w:tc>
        <w:tc>
          <w:tcPr>
            <w:tcW w:w="1452" w:type="dxa"/>
            <w:tcBorders>
              <w:top w:val="dotted" w:sz="4" w:space="0" w:color="auto"/>
              <w:left w:val="dotted" w:sz="4" w:space="0" w:color="auto"/>
              <w:bottom w:val="single" w:sz="4" w:space="0" w:color="auto"/>
            </w:tcBorders>
            <w:noWrap/>
            <w:vAlign w:val="center"/>
            <w:hideMark/>
          </w:tcPr>
          <w:p w14:paraId="48477682" w14:textId="11A2B15B"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277,809</w:t>
            </w:r>
          </w:p>
        </w:tc>
        <w:tc>
          <w:tcPr>
            <w:tcW w:w="1452" w:type="dxa"/>
            <w:tcBorders>
              <w:top w:val="dotted" w:sz="4" w:space="0" w:color="auto"/>
              <w:bottom w:val="single" w:sz="4" w:space="0" w:color="auto"/>
              <w:right w:val="dotted" w:sz="4" w:space="0" w:color="auto"/>
            </w:tcBorders>
            <w:noWrap/>
            <w:vAlign w:val="center"/>
            <w:hideMark/>
          </w:tcPr>
          <w:p w14:paraId="789A3130" w14:textId="297ABB4A"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0.94%</w:t>
            </w:r>
          </w:p>
        </w:tc>
        <w:tc>
          <w:tcPr>
            <w:tcW w:w="1452" w:type="dxa"/>
            <w:tcBorders>
              <w:top w:val="dotted" w:sz="4" w:space="0" w:color="auto"/>
              <w:left w:val="dotted" w:sz="4" w:space="0" w:color="auto"/>
              <w:bottom w:val="single" w:sz="4" w:space="0" w:color="auto"/>
            </w:tcBorders>
            <w:noWrap/>
            <w:vAlign w:val="center"/>
            <w:hideMark/>
          </w:tcPr>
          <w:p w14:paraId="4E5E0815" w14:textId="646FC771"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277,809</w:t>
            </w:r>
          </w:p>
        </w:tc>
      </w:tr>
      <w:tr w:rsidR="00F63862" w:rsidRPr="005646CD" w14:paraId="2F556C0A" w14:textId="77777777" w:rsidTr="00B17F4D">
        <w:trPr>
          <w:trHeight w:val="576"/>
        </w:trPr>
        <w:tc>
          <w:tcPr>
            <w:tcW w:w="2576" w:type="dxa"/>
            <w:vMerge w:val="restart"/>
            <w:vAlign w:val="center"/>
            <w:hideMark/>
          </w:tcPr>
          <w:p w14:paraId="39A78DBC" w14:textId="77777777" w:rsidR="00F63862" w:rsidRPr="00862A6B" w:rsidRDefault="00F63862" w:rsidP="00F63862">
            <w:pPr>
              <w:pStyle w:val="ParaText"/>
              <w:spacing w:line="240" w:lineRule="auto"/>
              <w:jc w:val="center"/>
              <w:rPr>
                <w:rFonts w:asciiTheme="majorBidi" w:hAnsiTheme="majorBidi" w:cstheme="majorBidi"/>
                <w:b/>
                <w:bCs/>
                <w:sz w:val="18"/>
                <w:szCs w:val="18"/>
                <w:lang w:val="en-GB"/>
              </w:rPr>
            </w:pPr>
            <w:r w:rsidRPr="00862A6B">
              <w:rPr>
                <w:rFonts w:asciiTheme="majorBidi" w:hAnsiTheme="majorBidi" w:cstheme="majorBidi"/>
                <w:b/>
                <w:bCs/>
                <w:sz w:val="18"/>
                <w:szCs w:val="18"/>
                <w:lang w:val="en-GB"/>
              </w:rPr>
              <w:t>Transportation</w:t>
            </w:r>
          </w:p>
        </w:tc>
        <w:tc>
          <w:tcPr>
            <w:tcW w:w="3208" w:type="dxa"/>
            <w:tcBorders>
              <w:bottom w:val="dotted" w:sz="4" w:space="0" w:color="auto"/>
            </w:tcBorders>
            <w:vAlign w:val="center"/>
            <w:hideMark/>
          </w:tcPr>
          <w:p w14:paraId="6BF5383D" w14:textId="77777777" w:rsidR="00F63862" w:rsidRPr="00862A6B" w:rsidRDefault="00F63862" w:rsidP="00F63862">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On-road</w:t>
            </w:r>
          </w:p>
        </w:tc>
        <w:tc>
          <w:tcPr>
            <w:tcW w:w="1452" w:type="dxa"/>
            <w:tcBorders>
              <w:bottom w:val="dotted" w:sz="4" w:space="0" w:color="auto"/>
            </w:tcBorders>
            <w:vAlign w:val="center"/>
            <w:hideMark/>
          </w:tcPr>
          <w:p w14:paraId="397B7F49" w14:textId="74E28C84"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 xml:space="preserve">153,993 </w:t>
            </w:r>
          </w:p>
        </w:tc>
        <w:tc>
          <w:tcPr>
            <w:tcW w:w="1452" w:type="dxa"/>
            <w:tcBorders>
              <w:bottom w:val="dotted" w:sz="4" w:space="0" w:color="auto"/>
              <w:right w:val="dotted" w:sz="4" w:space="0" w:color="auto"/>
            </w:tcBorders>
            <w:noWrap/>
            <w:vAlign w:val="center"/>
            <w:hideMark/>
          </w:tcPr>
          <w:p w14:paraId="51CEE86A" w14:textId="3235A4AE"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0.59%</w:t>
            </w:r>
          </w:p>
        </w:tc>
        <w:tc>
          <w:tcPr>
            <w:tcW w:w="1452" w:type="dxa"/>
            <w:tcBorders>
              <w:left w:val="dotted" w:sz="4" w:space="0" w:color="auto"/>
              <w:bottom w:val="dotted" w:sz="4" w:space="0" w:color="auto"/>
            </w:tcBorders>
            <w:noWrap/>
            <w:vAlign w:val="center"/>
            <w:hideMark/>
          </w:tcPr>
          <w:p w14:paraId="09B6FCA2" w14:textId="4EFB8372"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171,194</w:t>
            </w:r>
          </w:p>
        </w:tc>
        <w:tc>
          <w:tcPr>
            <w:tcW w:w="1452" w:type="dxa"/>
            <w:tcBorders>
              <w:bottom w:val="dotted" w:sz="4" w:space="0" w:color="auto"/>
              <w:right w:val="dotted" w:sz="4" w:space="0" w:color="auto"/>
            </w:tcBorders>
            <w:noWrap/>
            <w:vAlign w:val="center"/>
            <w:hideMark/>
          </w:tcPr>
          <w:p w14:paraId="4C068953" w14:textId="21EE9D42"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0.54%</w:t>
            </w:r>
          </w:p>
        </w:tc>
        <w:tc>
          <w:tcPr>
            <w:tcW w:w="1452" w:type="dxa"/>
            <w:tcBorders>
              <w:left w:val="dotted" w:sz="4" w:space="0" w:color="auto"/>
              <w:bottom w:val="dotted" w:sz="4" w:space="0" w:color="auto"/>
            </w:tcBorders>
            <w:noWrap/>
            <w:vAlign w:val="center"/>
            <w:hideMark/>
          </w:tcPr>
          <w:p w14:paraId="31CF1104" w14:textId="5A13B595"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178,940</w:t>
            </w:r>
          </w:p>
        </w:tc>
        <w:tc>
          <w:tcPr>
            <w:tcW w:w="1452" w:type="dxa"/>
            <w:tcBorders>
              <w:bottom w:val="dotted" w:sz="4" w:space="0" w:color="auto"/>
              <w:right w:val="dotted" w:sz="4" w:space="0" w:color="auto"/>
            </w:tcBorders>
            <w:noWrap/>
            <w:vAlign w:val="center"/>
            <w:hideMark/>
          </w:tcPr>
          <w:p w14:paraId="6FCC9473" w14:textId="4129EF58"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0.54%</w:t>
            </w:r>
          </w:p>
        </w:tc>
        <w:tc>
          <w:tcPr>
            <w:tcW w:w="1452" w:type="dxa"/>
            <w:tcBorders>
              <w:left w:val="dotted" w:sz="4" w:space="0" w:color="auto"/>
              <w:bottom w:val="dotted" w:sz="4" w:space="0" w:color="auto"/>
            </w:tcBorders>
            <w:noWrap/>
            <w:vAlign w:val="center"/>
            <w:hideMark/>
          </w:tcPr>
          <w:p w14:paraId="1668035B" w14:textId="00CFD120"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188,798</w:t>
            </w:r>
          </w:p>
        </w:tc>
      </w:tr>
      <w:tr w:rsidR="00F63862" w:rsidRPr="005646CD" w14:paraId="1AF82367" w14:textId="77777777" w:rsidTr="00B17F4D">
        <w:trPr>
          <w:trHeight w:val="576"/>
        </w:trPr>
        <w:tc>
          <w:tcPr>
            <w:tcW w:w="2576" w:type="dxa"/>
            <w:vMerge/>
            <w:vAlign w:val="center"/>
            <w:hideMark/>
          </w:tcPr>
          <w:p w14:paraId="7B1E7506" w14:textId="77777777" w:rsidR="00F63862" w:rsidRPr="00862A6B" w:rsidRDefault="00F63862" w:rsidP="00F63862">
            <w:pPr>
              <w:pStyle w:val="ParaText"/>
              <w:spacing w:line="240" w:lineRule="auto"/>
              <w:jc w:val="center"/>
              <w:rPr>
                <w:rFonts w:asciiTheme="majorBidi" w:hAnsiTheme="majorBidi" w:cstheme="majorBidi"/>
                <w:b/>
                <w:bCs/>
                <w:sz w:val="18"/>
                <w:szCs w:val="18"/>
                <w:lang w:val="en-GB"/>
              </w:rPr>
            </w:pPr>
          </w:p>
        </w:tc>
        <w:tc>
          <w:tcPr>
            <w:tcW w:w="3208" w:type="dxa"/>
            <w:tcBorders>
              <w:top w:val="dotted" w:sz="4" w:space="0" w:color="auto"/>
              <w:bottom w:val="single" w:sz="4" w:space="0" w:color="auto"/>
            </w:tcBorders>
            <w:vAlign w:val="center"/>
            <w:hideMark/>
          </w:tcPr>
          <w:p w14:paraId="5A7C6CA0" w14:textId="77777777" w:rsidR="00F63862" w:rsidRPr="00862A6B" w:rsidRDefault="00F63862" w:rsidP="00F63862">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Rail</w:t>
            </w:r>
          </w:p>
        </w:tc>
        <w:tc>
          <w:tcPr>
            <w:tcW w:w="1452" w:type="dxa"/>
            <w:tcBorders>
              <w:top w:val="dotted" w:sz="4" w:space="0" w:color="auto"/>
              <w:bottom w:val="single" w:sz="4" w:space="0" w:color="auto"/>
            </w:tcBorders>
            <w:vAlign w:val="center"/>
            <w:hideMark/>
          </w:tcPr>
          <w:p w14:paraId="7260234B" w14:textId="3F96570C"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 xml:space="preserve">8,945 </w:t>
            </w:r>
          </w:p>
        </w:tc>
        <w:tc>
          <w:tcPr>
            <w:tcW w:w="1452" w:type="dxa"/>
            <w:tcBorders>
              <w:top w:val="dotted" w:sz="4" w:space="0" w:color="auto"/>
              <w:bottom w:val="single" w:sz="4" w:space="0" w:color="auto"/>
              <w:right w:val="dotted" w:sz="4" w:space="0" w:color="auto"/>
            </w:tcBorders>
            <w:noWrap/>
            <w:vAlign w:val="center"/>
            <w:hideMark/>
          </w:tcPr>
          <w:p w14:paraId="6D36E709" w14:textId="05963776"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0.59%</w:t>
            </w:r>
          </w:p>
        </w:tc>
        <w:tc>
          <w:tcPr>
            <w:tcW w:w="1452" w:type="dxa"/>
            <w:tcBorders>
              <w:top w:val="dotted" w:sz="4" w:space="0" w:color="auto"/>
              <w:left w:val="dotted" w:sz="4" w:space="0" w:color="auto"/>
              <w:bottom w:val="single" w:sz="4" w:space="0" w:color="auto"/>
            </w:tcBorders>
            <w:noWrap/>
            <w:vAlign w:val="center"/>
            <w:hideMark/>
          </w:tcPr>
          <w:p w14:paraId="6E4A2899" w14:textId="6EDA6F79"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9,945</w:t>
            </w:r>
          </w:p>
        </w:tc>
        <w:tc>
          <w:tcPr>
            <w:tcW w:w="1452" w:type="dxa"/>
            <w:tcBorders>
              <w:top w:val="dotted" w:sz="4" w:space="0" w:color="auto"/>
              <w:bottom w:val="single" w:sz="4" w:space="0" w:color="auto"/>
              <w:right w:val="dotted" w:sz="4" w:space="0" w:color="auto"/>
            </w:tcBorders>
            <w:noWrap/>
            <w:vAlign w:val="center"/>
            <w:hideMark/>
          </w:tcPr>
          <w:p w14:paraId="2E0457D0" w14:textId="4CF36B58"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0.54%</w:t>
            </w:r>
          </w:p>
        </w:tc>
        <w:tc>
          <w:tcPr>
            <w:tcW w:w="1452" w:type="dxa"/>
            <w:tcBorders>
              <w:top w:val="dotted" w:sz="4" w:space="0" w:color="auto"/>
              <w:left w:val="dotted" w:sz="4" w:space="0" w:color="auto"/>
              <w:bottom w:val="single" w:sz="4" w:space="0" w:color="auto"/>
            </w:tcBorders>
            <w:noWrap/>
            <w:vAlign w:val="center"/>
            <w:hideMark/>
          </w:tcPr>
          <w:p w14:paraId="77A9A57E" w14:textId="3169E882"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10,395</w:t>
            </w:r>
          </w:p>
        </w:tc>
        <w:tc>
          <w:tcPr>
            <w:tcW w:w="1452" w:type="dxa"/>
            <w:tcBorders>
              <w:top w:val="dotted" w:sz="4" w:space="0" w:color="auto"/>
              <w:bottom w:val="single" w:sz="4" w:space="0" w:color="auto"/>
              <w:right w:val="dotted" w:sz="4" w:space="0" w:color="auto"/>
            </w:tcBorders>
            <w:noWrap/>
            <w:vAlign w:val="center"/>
            <w:hideMark/>
          </w:tcPr>
          <w:p w14:paraId="423ED84C" w14:textId="47099F63"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0.54%</w:t>
            </w:r>
          </w:p>
        </w:tc>
        <w:tc>
          <w:tcPr>
            <w:tcW w:w="1452" w:type="dxa"/>
            <w:tcBorders>
              <w:top w:val="dotted" w:sz="4" w:space="0" w:color="auto"/>
              <w:left w:val="dotted" w:sz="4" w:space="0" w:color="auto"/>
              <w:bottom w:val="single" w:sz="4" w:space="0" w:color="auto"/>
            </w:tcBorders>
            <w:noWrap/>
            <w:vAlign w:val="center"/>
            <w:hideMark/>
          </w:tcPr>
          <w:p w14:paraId="7FFCA94E" w14:textId="573482D6" w:rsidR="00F63862" w:rsidRPr="00AC3454" w:rsidRDefault="00F63862" w:rsidP="00F63862">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10,967</w:t>
            </w:r>
          </w:p>
        </w:tc>
      </w:tr>
      <w:tr w:rsidR="00FC2016" w:rsidRPr="005646CD" w14:paraId="1B27DA78" w14:textId="77777777" w:rsidTr="00B17F4D">
        <w:trPr>
          <w:trHeight w:val="576"/>
        </w:trPr>
        <w:tc>
          <w:tcPr>
            <w:tcW w:w="2576" w:type="dxa"/>
            <w:vMerge w:val="restart"/>
            <w:vAlign w:val="center"/>
            <w:hideMark/>
          </w:tcPr>
          <w:p w14:paraId="3C72E8E1" w14:textId="77777777" w:rsidR="00FC2016" w:rsidRPr="00862A6B" w:rsidRDefault="00FC2016" w:rsidP="00FC2016">
            <w:pPr>
              <w:pStyle w:val="ParaText"/>
              <w:spacing w:line="240" w:lineRule="auto"/>
              <w:jc w:val="center"/>
              <w:rPr>
                <w:rFonts w:asciiTheme="majorBidi" w:hAnsiTheme="majorBidi" w:cstheme="majorBidi"/>
                <w:b/>
                <w:bCs/>
                <w:sz w:val="18"/>
                <w:szCs w:val="18"/>
                <w:lang w:val="en-GB"/>
              </w:rPr>
            </w:pPr>
            <w:r w:rsidRPr="00862A6B">
              <w:rPr>
                <w:rFonts w:asciiTheme="majorBidi" w:hAnsiTheme="majorBidi" w:cstheme="majorBidi"/>
                <w:b/>
                <w:bCs/>
                <w:sz w:val="18"/>
                <w:szCs w:val="18"/>
                <w:lang w:val="en-GB"/>
              </w:rPr>
              <w:t>Waste</w:t>
            </w:r>
          </w:p>
        </w:tc>
        <w:tc>
          <w:tcPr>
            <w:tcW w:w="3208" w:type="dxa"/>
            <w:tcBorders>
              <w:bottom w:val="dotted" w:sz="4" w:space="0" w:color="auto"/>
            </w:tcBorders>
            <w:noWrap/>
            <w:vAlign w:val="center"/>
            <w:hideMark/>
          </w:tcPr>
          <w:p w14:paraId="1F5CDE00" w14:textId="5EE0CD71" w:rsidR="00FC2016" w:rsidRPr="00862A6B" w:rsidRDefault="00FC2016" w:rsidP="00FC2016">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Solid Waste Disposal</w:t>
            </w:r>
          </w:p>
        </w:tc>
        <w:tc>
          <w:tcPr>
            <w:tcW w:w="1452" w:type="dxa"/>
            <w:tcBorders>
              <w:bottom w:val="dotted" w:sz="4" w:space="0" w:color="auto"/>
            </w:tcBorders>
            <w:vAlign w:val="center"/>
            <w:hideMark/>
          </w:tcPr>
          <w:p w14:paraId="48BD6CCF" w14:textId="2F4337C8"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92,051</w:t>
            </w:r>
            <w:r w:rsidRPr="00AC3454">
              <w:rPr>
                <w:rFonts w:asciiTheme="majorBidi" w:hAnsiTheme="majorBidi" w:cstheme="majorBidi"/>
                <w:sz w:val="18"/>
                <w:szCs w:val="18"/>
                <w:lang w:val="en-GB"/>
              </w:rPr>
              <w:t xml:space="preserve"> </w:t>
            </w:r>
          </w:p>
        </w:tc>
        <w:tc>
          <w:tcPr>
            <w:tcW w:w="1452" w:type="dxa"/>
            <w:tcBorders>
              <w:bottom w:val="dotted" w:sz="4" w:space="0" w:color="auto"/>
              <w:right w:val="dotted" w:sz="4" w:space="0" w:color="auto"/>
            </w:tcBorders>
            <w:noWrap/>
            <w:vAlign w:val="center"/>
            <w:hideMark/>
          </w:tcPr>
          <w:p w14:paraId="26040DA1" w14:textId="40BFC58E"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0.57%</w:t>
            </w:r>
          </w:p>
        </w:tc>
        <w:tc>
          <w:tcPr>
            <w:tcW w:w="1452" w:type="dxa"/>
            <w:tcBorders>
              <w:left w:val="dotted" w:sz="4" w:space="0" w:color="auto"/>
              <w:bottom w:val="dotted" w:sz="4" w:space="0" w:color="auto"/>
            </w:tcBorders>
            <w:noWrap/>
            <w:vAlign w:val="center"/>
            <w:hideMark/>
          </w:tcPr>
          <w:p w14:paraId="048B9775" w14:textId="180AA085"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101,977</w:t>
            </w:r>
          </w:p>
        </w:tc>
        <w:tc>
          <w:tcPr>
            <w:tcW w:w="1452" w:type="dxa"/>
            <w:tcBorders>
              <w:bottom w:val="dotted" w:sz="4" w:space="0" w:color="auto"/>
              <w:right w:val="dotted" w:sz="4" w:space="0" w:color="auto"/>
            </w:tcBorders>
            <w:noWrap/>
            <w:vAlign w:val="center"/>
            <w:hideMark/>
          </w:tcPr>
          <w:p w14:paraId="7A3E1F4B" w14:textId="6ABCD02D"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left w:val="dotted" w:sz="4" w:space="0" w:color="auto"/>
              <w:bottom w:val="dotted" w:sz="4" w:space="0" w:color="auto"/>
            </w:tcBorders>
            <w:noWrap/>
            <w:vAlign w:val="center"/>
            <w:hideMark/>
          </w:tcPr>
          <w:p w14:paraId="3C437E80" w14:textId="688B4196"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106,206</w:t>
            </w:r>
          </w:p>
        </w:tc>
        <w:tc>
          <w:tcPr>
            <w:tcW w:w="1452" w:type="dxa"/>
            <w:tcBorders>
              <w:bottom w:val="dotted" w:sz="4" w:space="0" w:color="auto"/>
              <w:right w:val="dotted" w:sz="4" w:space="0" w:color="auto"/>
            </w:tcBorders>
            <w:noWrap/>
            <w:vAlign w:val="center"/>
            <w:hideMark/>
          </w:tcPr>
          <w:p w14:paraId="0458D0E4" w14:textId="415FFF45"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left w:val="dotted" w:sz="4" w:space="0" w:color="auto"/>
              <w:bottom w:val="dotted" w:sz="4" w:space="0" w:color="auto"/>
            </w:tcBorders>
            <w:noWrap/>
            <w:vAlign w:val="center"/>
            <w:hideMark/>
          </w:tcPr>
          <w:p w14:paraId="5E526CE1" w14:textId="1AD0C380"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111,772</w:t>
            </w:r>
          </w:p>
        </w:tc>
      </w:tr>
      <w:tr w:rsidR="00FC2016" w:rsidRPr="005646CD" w14:paraId="7A79E598" w14:textId="77777777" w:rsidTr="00B17F4D">
        <w:trPr>
          <w:trHeight w:val="576"/>
        </w:trPr>
        <w:tc>
          <w:tcPr>
            <w:tcW w:w="2576" w:type="dxa"/>
            <w:vMerge/>
            <w:vAlign w:val="center"/>
            <w:hideMark/>
          </w:tcPr>
          <w:p w14:paraId="62F4E231" w14:textId="77777777" w:rsidR="00FC2016" w:rsidRPr="005646CD" w:rsidRDefault="00FC2016" w:rsidP="00FC2016">
            <w:pPr>
              <w:pStyle w:val="ParaText"/>
              <w:spacing w:line="240" w:lineRule="auto"/>
              <w:jc w:val="center"/>
              <w:rPr>
                <w:rFonts w:asciiTheme="majorBidi" w:hAnsiTheme="majorBidi" w:cstheme="majorBidi"/>
                <w:b/>
                <w:bCs/>
                <w:sz w:val="16"/>
                <w:szCs w:val="16"/>
                <w:lang w:val="en-GB"/>
              </w:rPr>
            </w:pPr>
          </w:p>
        </w:tc>
        <w:tc>
          <w:tcPr>
            <w:tcW w:w="3208" w:type="dxa"/>
            <w:tcBorders>
              <w:top w:val="dotted" w:sz="4" w:space="0" w:color="auto"/>
              <w:bottom w:val="dotted" w:sz="4" w:space="0" w:color="auto"/>
            </w:tcBorders>
            <w:noWrap/>
            <w:vAlign w:val="center"/>
            <w:hideMark/>
          </w:tcPr>
          <w:p w14:paraId="67965F45" w14:textId="77777777" w:rsidR="00FC2016" w:rsidRPr="00862A6B" w:rsidRDefault="00FC2016" w:rsidP="00FC2016">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Incineration and Open Burning</w:t>
            </w:r>
          </w:p>
        </w:tc>
        <w:tc>
          <w:tcPr>
            <w:tcW w:w="1452" w:type="dxa"/>
            <w:tcBorders>
              <w:top w:val="dotted" w:sz="4" w:space="0" w:color="auto"/>
              <w:bottom w:val="dotted" w:sz="4" w:space="0" w:color="auto"/>
            </w:tcBorders>
            <w:vAlign w:val="center"/>
            <w:hideMark/>
          </w:tcPr>
          <w:p w14:paraId="0ED1C25F" w14:textId="55E8B946"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2,145</w:t>
            </w:r>
            <w:r w:rsidRPr="00AC3454">
              <w:rPr>
                <w:rFonts w:asciiTheme="majorBidi" w:hAnsiTheme="majorBidi" w:cstheme="majorBidi"/>
                <w:sz w:val="18"/>
                <w:szCs w:val="18"/>
                <w:lang w:val="en-GB"/>
              </w:rPr>
              <w:t xml:space="preserve"> </w:t>
            </w:r>
          </w:p>
        </w:tc>
        <w:tc>
          <w:tcPr>
            <w:tcW w:w="1452" w:type="dxa"/>
            <w:tcBorders>
              <w:top w:val="dotted" w:sz="4" w:space="0" w:color="auto"/>
              <w:bottom w:val="dotted" w:sz="4" w:space="0" w:color="auto"/>
              <w:right w:val="dotted" w:sz="4" w:space="0" w:color="auto"/>
            </w:tcBorders>
            <w:noWrap/>
            <w:vAlign w:val="center"/>
            <w:hideMark/>
          </w:tcPr>
          <w:p w14:paraId="201A63FF" w14:textId="5C189FF9"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0.57%</w:t>
            </w:r>
          </w:p>
        </w:tc>
        <w:tc>
          <w:tcPr>
            <w:tcW w:w="1452" w:type="dxa"/>
            <w:tcBorders>
              <w:top w:val="dotted" w:sz="4" w:space="0" w:color="auto"/>
              <w:left w:val="dotted" w:sz="4" w:space="0" w:color="auto"/>
              <w:bottom w:val="dotted" w:sz="4" w:space="0" w:color="auto"/>
            </w:tcBorders>
            <w:noWrap/>
            <w:vAlign w:val="center"/>
            <w:hideMark/>
          </w:tcPr>
          <w:p w14:paraId="2F7AEAEE" w14:textId="37BE02BA"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2,377</w:t>
            </w:r>
          </w:p>
        </w:tc>
        <w:tc>
          <w:tcPr>
            <w:tcW w:w="1452" w:type="dxa"/>
            <w:tcBorders>
              <w:top w:val="dotted" w:sz="4" w:space="0" w:color="auto"/>
              <w:bottom w:val="dotted" w:sz="4" w:space="0" w:color="auto"/>
              <w:right w:val="dotted" w:sz="4" w:space="0" w:color="auto"/>
            </w:tcBorders>
            <w:noWrap/>
            <w:vAlign w:val="center"/>
            <w:hideMark/>
          </w:tcPr>
          <w:p w14:paraId="19937645" w14:textId="0F7B694C"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top w:val="dotted" w:sz="4" w:space="0" w:color="auto"/>
              <w:left w:val="dotted" w:sz="4" w:space="0" w:color="auto"/>
              <w:bottom w:val="dotted" w:sz="4" w:space="0" w:color="auto"/>
            </w:tcBorders>
            <w:noWrap/>
            <w:vAlign w:val="center"/>
            <w:hideMark/>
          </w:tcPr>
          <w:p w14:paraId="492CE552" w14:textId="0C834647"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2,475</w:t>
            </w:r>
          </w:p>
        </w:tc>
        <w:tc>
          <w:tcPr>
            <w:tcW w:w="1452" w:type="dxa"/>
            <w:tcBorders>
              <w:top w:val="dotted" w:sz="4" w:space="0" w:color="auto"/>
              <w:bottom w:val="dotted" w:sz="4" w:space="0" w:color="auto"/>
              <w:right w:val="dotted" w:sz="4" w:space="0" w:color="auto"/>
            </w:tcBorders>
            <w:noWrap/>
            <w:vAlign w:val="center"/>
            <w:hideMark/>
          </w:tcPr>
          <w:p w14:paraId="5A6653BA" w14:textId="232BD814"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top w:val="dotted" w:sz="4" w:space="0" w:color="auto"/>
              <w:left w:val="dotted" w:sz="4" w:space="0" w:color="auto"/>
              <w:bottom w:val="dotted" w:sz="4" w:space="0" w:color="auto"/>
            </w:tcBorders>
            <w:noWrap/>
            <w:vAlign w:val="center"/>
            <w:hideMark/>
          </w:tcPr>
          <w:p w14:paraId="22A6F7B7" w14:textId="640D3947"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2,605</w:t>
            </w:r>
          </w:p>
        </w:tc>
      </w:tr>
      <w:tr w:rsidR="00FC2016" w:rsidRPr="005646CD" w14:paraId="29B45767" w14:textId="77777777" w:rsidTr="00B17F4D">
        <w:trPr>
          <w:trHeight w:val="576"/>
        </w:trPr>
        <w:tc>
          <w:tcPr>
            <w:tcW w:w="2576" w:type="dxa"/>
            <w:vMerge/>
            <w:vAlign w:val="center"/>
            <w:hideMark/>
          </w:tcPr>
          <w:p w14:paraId="3169E850" w14:textId="77777777" w:rsidR="00FC2016" w:rsidRPr="005646CD" w:rsidRDefault="00FC2016" w:rsidP="00FC2016">
            <w:pPr>
              <w:pStyle w:val="ParaText"/>
              <w:spacing w:line="240" w:lineRule="auto"/>
              <w:jc w:val="center"/>
              <w:rPr>
                <w:rFonts w:asciiTheme="majorBidi" w:hAnsiTheme="majorBidi" w:cstheme="majorBidi"/>
                <w:b/>
                <w:bCs/>
                <w:sz w:val="16"/>
                <w:szCs w:val="16"/>
                <w:lang w:val="en-GB"/>
              </w:rPr>
            </w:pPr>
          </w:p>
        </w:tc>
        <w:tc>
          <w:tcPr>
            <w:tcW w:w="3208" w:type="dxa"/>
            <w:tcBorders>
              <w:top w:val="dotted" w:sz="4" w:space="0" w:color="auto"/>
            </w:tcBorders>
            <w:vAlign w:val="center"/>
            <w:hideMark/>
          </w:tcPr>
          <w:p w14:paraId="470214B6" w14:textId="77777777" w:rsidR="00FC2016" w:rsidRPr="00862A6B" w:rsidRDefault="00FC2016" w:rsidP="00FC2016">
            <w:pPr>
              <w:pStyle w:val="ParaText"/>
              <w:spacing w:line="240" w:lineRule="auto"/>
              <w:jc w:val="center"/>
              <w:rPr>
                <w:rFonts w:asciiTheme="majorBidi" w:hAnsiTheme="majorBidi" w:cstheme="majorBidi"/>
                <w:sz w:val="18"/>
                <w:szCs w:val="18"/>
                <w:lang w:val="en-GB"/>
              </w:rPr>
            </w:pPr>
            <w:r w:rsidRPr="00862A6B">
              <w:rPr>
                <w:rFonts w:asciiTheme="majorBidi" w:hAnsiTheme="majorBidi" w:cstheme="majorBidi"/>
                <w:sz w:val="18"/>
                <w:szCs w:val="18"/>
                <w:lang w:val="en-GB"/>
              </w:rPr>
              <w:t>Wastewater Treatment and Discharge</w:t>
            </w:r>
          </w:p>
        </w:tc>
        <w:tc>
          <w:tcPr>
            <w:tcW w:w="1452" w:type="dxa"/>
            <w:tcBorders>
              <w:top w:val="dotted" w:sz="4" w:space="0" w:color="auto"/>
            </w:tcBorders>
            <w:vAlign w:val="center"/>
            <w:hideMark/>
          </w:tcPr>
          <w:p w14:paraId="35E1672E" w14:textId="6A5B339B"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2,146</w:t>
            </w:r>
            <w:r w:rsidRPr="00AC3454">
              <w:rPr>
                <w:rFonts w:asciiTheme="majorBidi" w:hAnsiTheme="majorBidi" w:cstheme="majorBidi"/>
                <w:sz w:val="18"/>
                <w:szCs w:val="18"/>
                <w:lang w:val="en-GB"/>
              </w:rPr>
              <w:t xml:space="preserve"> </w:t>
            </w:r>
          </w:p>
        </w:tc>
        <w:tc>
          <w:tcPr>
            <w:tcW w:w="1452" w:type="dxa"/>
            <w:tcBorders>
              <w:top w:val="dotted" w:sz="4" w:space="0" w:color="auto"/>
              <w:right w:val="dotted" w:sz="4" w:space="0" w:color="auto"/>
            </w:tcBorders>
            <w:noWrap/>
            <w:vAlign w:val="center"/>
            <w:hideMark/>
          </w:tcPr>
          <w:p w14:paraId="23401A1E" w14:textId="47D7A0D8"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0.57%</w:t>
            </w:r>
          </w:p>
        </w:tc>
        <w:tc>
          <w:tcPr>
            <w:tcW w:w="1452" w:type="dxa"/>
            <w:tcBorders>
              <w:top w:val="dotted" w:sz="4" w:space="0" w:color="auto"/>
              <w:left w:val="dotted" w:sz="4" w:space="0" w:color="auto"/>
            </w:tcBorders>
            <w:noWrap/>
            <w:vAlign w:val="center"/>
            <w:hideMark/>
          </w:tcPr>
          <w:p w14:paraId="6D36B288" w14:textId="364248A6"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2,377</w:t>
            </w:r>
          </w:p>
        </w:tc>
        <w:tc>
          <w:tcPr>
            <w:tcW w:w="1452" w:type="dxa"/>
            <w:tcBorders>
              <w:top w:val="dotted" w:sz="4" w:space="0" w:color="auto"/>
              <w:right w:val="dotted" w:sz="4" w:space="0" w:color="auto"/>
            </w:tcBorders>
            <w:noWrap/>
            <w:vAlign w:val="center"/>
            <w:hideMark/>
          </w:tcPr>
          <w:p w14:paraId="666C101A" w14:textId="27E9DB67"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top w:val="dotted" w:sz="4" w:space="0" w:color="auto"/>
              <w:left w:val="dotted" w:sz="4" w:space="0" w:color="auto"/>
            </w:tcBorders>
            <w:noWrap/>
            <w:vAlign w:val="center"/>
            <w:hideMark/>
          </w:tcPr>
          <w:p w14:paraId="5AB2A9A8" w14:textId="5192C2C0"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2,476</w:t>
            </w:r>
          </w:p>
        </w:tc>
        <w:tc>
          <w:tcPr>
            <w:tcW w:w="1452" w:type="dxa"/>
            <w:tcBorders>
              <w:top w:val="dotted" w:sz="4" w:space="0" w:color="auto"/>
              <w:right w:val="dotted" w:sz="4" w:space="0" w:color="auto"/>
            </w:tcBorders>
            <w:noWrap/>
            <w:vAlign w:val="center"/>
            <w:hideMark/>
          </w:tcPr>
          <w:p w14:paraId="132387AC" w14:textId="064632C5" w:rsidR="00FC2016" w:rsidRPr="00AC3454" w:rsidRDefault="00FC2016" w:rsidP="00FC2016">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top w:val="dotted" w:sz="4" w:space="0" w:color="auto"/>
              <w:left w:val="dotted" w:sz="4" w:space="0" w:color="auto"/>
            </w:tcBorders>
            <w:noWrap/>
            <w:vAlign w:val="center"/>
            <w:hideMark/>
          </w:tcPr>
          <w:p w14:paraId="55188BB4" w14:textId="4E165C13" w:rsidR="00FC2016" w:rsidRPr="00AC3454" w:rsidRDefault="00FC2016" w:rsidP="00FC2016">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2,606</w:t>
            </w:r>
          </w:p>
        </w:tc>
      </w:tr>
      <w:tr w:rsidR="00571D6B" w:rsidRPr="005646CD" w14:paraId="7CA1DDE3" w14:textId="77777777" w:rsidTr="0090592A">
        <w:trPr>
          <w:trHeight w:val="576"/>
        </w:trPr>
        <w:tc>
          <w:tcPr>
            <w:tcW w:w="5784" w:type="dxa"/>
            <w:gridSpan w:val="2"/>
            <w:vAlign w:val="center"/>
            <w:hideMark/>
          </w:tcPr>
          <w:p w14:paraId="6F1E36A7" w14:textId="6C737188" w:rsidR="00571D6B" w:rsidRPr="00862A6B" w:rsidRDefault="00571D6B" w:rsidP="00571D6B">
            <w:pPr>
              <w:pStyle w:val="ParaText"/>
              <w:spacing w:line="240" w:lineRule="auto"/>
              <w:jc w:val="center"/>
              <w:rPr>
                <w:rFonts w:asciiTheme="majorBidi" w:hAnsiTheme="majorBidi" w:cstheme="majorBidi"/>
                <w:b/>
                <w:bCs/>
                <w:sz w:val="16"/>
                <w:szCs w:val="16"/>
                <w:lang w:val="en-GB"/>
              </w:rPr>
            </w:pPr>
            <w:r w:rsidRPr="00862A6B">
              <w:rPr>
                <w:rFonts w:asciiTheme="majorBidi" w:hAnsiTheme="majorBidi" w:cstheme="majorBidi"/>
                <w:b/>
                <w:bCs/>
                <w:sz w:val="16"/>
                <w:szCs w:val="16"/>
                <w:lang w:val="en-GB"/>
              </w:rPr>
              <w:t>TOTAL</w:t>
            </w:r>
          </w:p>
        </w:tc>
        <w:tc>
          <w:tcPr>
            <w:tcW w:w="1452" w:type="dxa"/>
            <w:shd w:val="clear" w:color="auto" w:fill="95B3D7" w:themeFill="accent1" w:themeFillTint="99"/>
            <w:noWrap/>
            <w:vAlign w:val="center"/>
            <w:hideMark/>
          </w:tcPr>
          <w:p w14:paraId="75238CBE" w14:textId="4AD71AB2" w:rsidR="00571D6B" w:rsidRPr="00AC3454" w:rsidRDefault="00571D6B" w:rsidP="00571D6B">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1,462,236</w:t>
            </w:r>
          </w:p>
        </w:tc>
        <w:tc>
          <w:tcPr>
            <w:tcW w:w="1452" w:type="dxa"/>
            <w:tcBorders>
              <w:right w:val="dotted" w:sz="4" w:space="0" w:color="auto"/>
            </w:tcBorders>
            <w:shd w:val="clear" w:color="auto" w:fill="FBD4B4" w:themeFill="accent6" w:themeFillTint="66"/>
            <w:noWrap/>
            <w:vAlign w:val="center"/>
            <w:hideMark/>
          </w:tcPr>
          <w:p w14:paraId="6FDB3A66" w14:textId="3927F7AE" w:rsidR="00571D6B" w:rsidRPr="00AC3454" w:rsidRDefault="00571D6B" w:rsidP="00571D6B">
            <w:pPr>
              <w:pStyle w:val="ParaText"/>
              <w:spacing w:line="240" w:lineRule="auto"/>
              <w:jc w:val="center"/>
              <w:rPr>
                <w:rFonts w:asciiTheme="majorBidi" w:hAnsiTheme="majorBidi" w:cstheme="majorBidi"/>
                <w:sz w:val="18"/>
                <w:szCs w:val="18"/>
                <w:lang w:val="en-GB"/>
              </w:rPr>
            </w:pPr>
            <w:r w:rsidRPr="00AC3454">
              <w:rPr>
                <w:rFonts w:asciiTheme="majorBidi" w:hAnsiTheme="majorBidi" w:cstheme="majorBidi"/>
                <w:sz w:val="18"/>
                <w:szCs w:val="18"/>
                <w:lang w:val="en-GB"/>
              </w:rPr>
              <w:t>0.51%</w:t>
            </w:r>
          </w:p>
        </w:tc>
        <w:tc>
          <w:tcPr>
            <w:tcW w:w="1452" w:type="dxa"/>
            <w:tcBorders>
              <w:left w:val="dotted" w:sz="4" w:space="0" w:color="auto"/>
            </w:tcBorders>
            <w:shd w:val="clear" w:color="auto" w:fill="FBD4B4" w:themeFill="accent6" w:themeFillTint="66"/>
            <w:noWrap/>
            <w:vAlign w:val="center"/>
            <w:hideMark/>
          </w:tcPr>
          <w:p w14:paraId="485C521E" w14:textId="4D559FF5" w:rsidR="00571D6B" w:rsidRPr="00AC3454" w:rsidRDefault="00571D6B" w:rsidP="00571D6B">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1,677,284</w:t>
            </w:r>
          </w:p>
        </w:tc>
        <w:tc>
          <w:tcPr>
            <w:tcW w:w="1452" w:type="dxa"/>
            <w:tcBorders>
              <w:right w:val="dotted" w:sz="4" w:space="0" w:color="auto"/>
            </w:tcBorders>
            <w:shd w:val="clear" w:color="auto" w:fill="E5B8B7" w:themeFill="accent2" w:themeFillTint="66"/>
            <w:noWrap/>
            <w:vAlign w:val="center"/>
            <w:hideMark/>
          </w:tcPr>
          <w:p w14:paraId="18C71481" w14:textId="68E65A5C" w:rsidR="00571D6B" w:rsidRPr="00AC3454" w:rsidRDefault="00571D6B" w:rsidP="00571D6B">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0.61%</w:t>
            </w:r>
          </w:p>
        </w:tc>
        <w:tc>
          <w:tcPr>
            <w:tcW w:w="1452" w:type="dxa"/>
            <w:tcBorders>
              <w:left w:val="dotted" w:sz="4" w:space="0" w:color="auto"/>
            </w:tcBorders>
            <w:shd w:val="clear" w:color="auto" w:fill="E5B8B7" w:themeFill="accent2" w:themeFillTint="66"/>
            <w:noWrap/>
            <w:vAlign w:val="center"/>
            <w:hideMark/>
          </w:tcPr>
          <w:p w14:paraId="286A56E8" w14:textId="68256BE3" w:rsidR="00571D6B" w:rsidRPr="00AC3454" w:rsidRDefault="00571D6B" w:rsidP="00571D6B">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1,734,681</w:t>
            </w:r>
          </w:p>
        </w:tc>
        <w:tc>
          <w:tcPr>
            <w:tcW w:w="1452" w:type="dxa"/>
            <w:tcBorders>
              <w:right w:val="dotted" w:sz="4" w:space="0" w:color="auto"/>
            </w:tcBorders>
            <w:shd w:val="clear" w:color="auto" w:fill="E36C0A" w:themeFill="accent6" w:themeFillShade="BF"/>
            <w:noWrap/>
            <w:vAlign w:val="center"/>
            <w:hideMark/>
          </w:tcPr>
          <w:p w14:paraId="1294C50C" w14:textId="7EA8D5F4" w:rsidR="00571D6B" w:rsidRPr="00AC3454" w:rsidRDefault="00571D6B" w:rsidP="00571D6B">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0.56%</w:t>
            </w:r>
          </w:p>
        </w:tc>
        <w:tc>
          <w:tcPr>
            <w:tcW w:w="1452" w:type="dxa"/>
            <w:tcBorders>
              <w:left w:val="dotted" w:sz="4" w:space="0" w:color="auto"/>
            </w:tcBorders>
            <w:shd w:val="clear" w:color="auto" w:fill="E36C0A" w:themeFill="accent6" w:themeFillShade="BF"/>
            <w:noWrap/>
            <w:vAlign w:val="center"/>
            <w:hideMark/>
          </w:tcPr>
          <w:p w14:paraId="70580AC3" w14:textId="57C3DB38" w:rsidR="00571D6B" w:rsidRPr="00AC3454" w:rsidRDefault="00571D6B" w:rsidP="00571D6B">
            <w:pPr>
              <w:pStyle w:val="ParaText"/>
              <w:spacing w:line="240" w:lineRule="auto"/>
              <w:jc w:val="center"/>
              <w:rPr>
                <w:rFonts w:asciiTheme="majorBidi" w:hAnsiTheme="majorBidi" w:cstheme="majorBidi"/>
                <w:sz w:val="18"/>
                <w:szCs w:val="18"/>
                <w:lang w:val="en-GB"/>
              </w:rPr>
            </w:pPr>
            <w:r>
              <w:rPr>
                <w:rFonts w:asciiTheme="majorBidi" w:hAnsiTheme="majorBidi" w:cstheme="majorBidi"/>
                <w:sz w:val="18"/>
                <w:szCs w:val="18"/>
                <w:lang w:val="en-GB"/>
              </w:rPr>
              <w:t>1,809,067</w:t>
            </w:r>
          </w:p>
        </w:tc>
      </w:tr>
    </w:tbl>
    <w:p w14:paraId="59F012CD" w14:textId="4E5AD3F7" w:rsidR="009E3E19" w:rsidRDefault="009E3E19" w:rsidP="00862A6B">
      <w:pPr>
        <w:pStyle w:val="ParaText"/>
        <w:spacing w:line="240" w:lineRule="auto"/>
        <w:sectPr w:rsidR="009E3E19" w:rsidSect="005646CD">
          <w:pgSz w:w="15840" w:h="12240" w:orient="landscape"/>
          <w:pgMar w:top="1440" w:right="1440" w:bottom="1440" w:left="1440" w:header="720" w:footer="720" w:gutter="0"/>
          <w:cols w:space="720"/>
          <w:docGrid w:linePitch="360"/>
        </w:sectPr>
      </w:pPr>
    </w:p>
    <w:p w14:paraId="48D6B344" w14:textId="3DE6F7E2" w:rsidR="00907C9C" w:rsidRDefault="00907C9C" w:rsidP="00862A6B">
      <w:pPr>
        <w:pStyle w:val="ParaText"/>
        <w:spacing w:line="240" w:lineRule="auto"/>
      </w:pPr>
    </w:p>
    <w:p w14:paraId="6629BBBA" w14:textId="08462C0A" w:rsidR="00A73F40" w:rsidRPr="00A73F40" w:rsidRDefault="009E3E19" w:rsidP="00BA0967">
      <w:pPr>
        <w:pStyle w:val="Heading3"/>
      </w:pPr>
      <w:r>
        <w:t xml:space="preserve">Incorporating the Impact of State Policies into the </w:t>
      </w:r>
      <w:r w:rsidR="00BA0967">
        <w:t>Business-as-usual Forecast</w:t>
      </w:r>
    </w:p>
    <w:p w14:paraId="17755EAB" w14:textId="77777777" w:rsidR="009E3E19" w:rsidRDefault="009E3E19" w:rsidP="009E3E19">
      <w:pPr>
        <w:pStyle w:val="BodyText"/>
      </w:pPr>
    </w:p>
    <w:p w14:paraId="5E4A5918" w14:textId="0EA983D3" w:rsidR="009E3E19" w:rsidRDefault="009E3E19" w:rsidP="005B0121">
      <w:pPr>
        <w:pStyle w:val="ParaText"/>
      </w:pPr>
      <w:r>
        <w:t xml:space="preserve">The above BAU emissions forecast presented in </w:t>
      </w:r>
      <w:r w:rsidRPr="004537D3">
        <w:rPr>
          <w:sz w:val="24"/>
        </w:rPr>
        <w:fldChar w:fldCharType="begin"/>
      </w:r>
      <w:r w:rsidRPr="004537D3">
        <w:rPr>
          <w:sz w:val="24"/>
        </w:rPr>
        <w:instrText xml:space="preserve"> REF _Ref472083477 \h </w:instrText>
      </w:r>
      <w:r w:rsidR="004537D3">
        <w:rPr>
          <w:sz w:val="24"/>
        </w:rPr>
        <w:instrText xml:space="preserve"> \* MERGEFORMAT </w:instrText>
      </w:r>
      <w:r w:rsidRPr="004537D3">
        <w:rPr>
          <w:sz w:val="24"/>
        </w:rPr>
      </w:r>
      <w:r w:rsidRPr="004537D3">
        <w:rPr>
          <w:sz w:val="24"/>
        </w:rPr>
        <w:fldChar w:fldCharType="separate"/>
      </w:r>
      <w:r w:rsidR="004537D3" w:rsidRPr="004537D3">
        <w:rPr>
          <w:szCs w:val="20"/>
        </w:rPr>
        <w:t xml:space="preserve">Table </w:t>
      </w:r>
      <w:r w:rsidR="004537D3" w:rsidRPr="004537D3">
        <w:rPr>
          <w:noProof/>
          <w:szCs w:val="20"/>
        </w:rPr>
        <w:t>17</w:t>
      </w:r>
      <w:r w:rsidRPr="004537D3">
        <w:rPr>
          <w:sz w:val="24"/>
        </w:rPr>
        <w:fldChar w:fldCharType="end"/>
      </w:r>
      <w:r>
        <w:t xml:space="preserve"> represents the expected growth in emissions in Cambridge absent of both state and local policies </w:t>
      </w:r>
      <w:r w:rsidR="00876F15">
        <w:t>aimed at reducing GHG emissions</w:t>
      </w:r>
      <w:r>
        <w:t>. State policies such as</w:t>
      </w:r>
      <w:r w:rsidR="00F5030C">
        <w:t xml:space="preserve"> the California </w:t>
      </w:r>
      <w:r w:rsidR="00571D6B">
        <w:t>Clean Car Standards</w:t>
      </w:r>
      <w:r w:rsidR="00F5030C">
        <w:t xml:space="preserve"> </w:t>
      </w:r>
      <w:r w:rsidR="00E83750">
        <w:t xml:space="preserve">(which Massachusetts law requires the Commonwealth to adopt) and the Massachusetts Renewable Energy Portfolio Standard (RPS) have the potential to significantly reduce future emissions in Cambridge. It is important to incorporate these state policies into the emissions forecast so the City has an accurate estimate of what portion of their CAP emissions reduction target will be satisfied by state action and what portion will need to be satisfied by local policies and actions. </w:t>
      </w:r>
    </w:p>
    <w:p w14:paraId="38816BED" w14:textId="77777777" w:rsidR="00A73F40" w:rsidRDefault="00F5030C" w:rsidP="00867E62">
      <w:pPr>
        <w:pStyle w:val="Heading4"/>
        <w:numPr>
          <w:ilvl w:val="0"/>
          <w:numId w:val="0"/>
        </w:numPr>
        <w:ind w:left="1134" w:hanging="1134"/>
        <w:rPr>
          <w:bCs/>
        </w:rPr>
      </w:pPr>
      <w:r w:rsidRPr="00F5030C">
        <w:rPr>
          <w:bCs/>
        </w:rPr>
        <w:t xml:space="preserve">California Low Emission Vehicle Program: </w:t>
      </w:r>
    </w:p>
    <w:p w14:paraId="14E37C64" w14:textId="77777777" w:rsidR="00A73F40" w:rsidRPr="00A73F40" w:rsidRDefault="00A73F40" w:rsidP="00A73F40">
      <w:pPr>
        <w:pStyle w:val="BodyText"/>
      </w:pPr>
    </w:p>
    <w:p w14:paraId="311350E8" w14:textId="56226704" w:rsidR="00F5030C" w:rsidRDefault="00A73F40" w:rsidP="00A73F40">
      <w:pPr>
        <w:pStyle w:val="ParaText"/>
      </w:pPr>
      <w:r w:rsidRPr="00A73F40">
        <w:rPr>
          <w:b/>
          <w:bCs/>
        </w:rPr>
        <w:t xml:space="preserve">Description of Policy: </w:t>
      </w:r>
      <w:r w:rsidR="00F5030C">
        <w:t>Massachusetts adopted the California motor vehicle standard in early 2006 and updated its rules in December 2012 to reflect California’s 2012 revisions.</w:t>
      </w:r>
      <w:r w:rsidR="00F5030C" w:rsidRPr="000A47ED">
        <w:rPr>
          <w:rStyle w:val="FootnoteReference"/>
          <w:sz w:val="18"/>
          <w:szCs w:val="18"/>
        </w:rPr>
        <w:footnoteReference w:id="19"/>
      </w:r>
      <w:r w:rsidR="00F5030C">
        <w:t xml:space="preserve"> </w:t>
      </w:r>
      <w:r w:rsidR="00F5030C" w:rsidRPr="00F5030C">
        <w:t xml:space="preserve">In 2002, the California legislature enacted Assembly Bill (AB) 1493 (aka “the </w:t>
      </w:r>
      <w:proofErr w:type="spellStart"/>
      <w:r w:rsidR="00F5030C" w:rsidRPr="00F5030C">
        <w:t>Pavley</w:t>
      </w:r>
      <w:proofErr w:type="spellEnd"/>
      <w:r w:rsidR="00F5030C" w:rsidRPr="00F5030C">
        <w:t xml:space="preserve"> Bill”), which directs the Air Resources Board to adopt standards that will achieve "the maximum feasible and cost-effective reduction of greenhouse gas emissions from motor vehicles," taking into account environmental, social, technological, and economic factors. In September 2009, the Air Resources Board adopted amendments to the “</w:t>
      </w:r>
      <w:proofErr w:type="spellStart"/>
      <w:r w:rsidR="00F5030C" w:rsidRPr="00F5030C">
        <w:t>Pavley</w:t>
      </w:r>
      <w:proofErr w:type="spellEnd"/>
      <w:r w:rsidR="00F5030C" w:rsidRPr="00F5030C">
        <w:t xml:space="preserve">” regulations to reduce GHG emissions in new passenger vehicles from 2009 through 2016.  The </w:t>
      </w:r>
      <w:proofErr w:type="spellStart"/>
      <w:r w:rsidR="00F5030C" w:rsidRPr="00F5030C">
        <w:t>Pavley</w:t>
      </w:r>
      <w:proofErr w:type="spellEnd"/>
      <w:r w:rsidR="00F5030C" w:rsidRPr="00F5030C">
        <w:t xml:space="preserve"> Bill </w:t>
      </w:r>
      <w:proofErr w:type="gramStart"/>
      <w:r w:rsidR="00F5030C" w:rsidRPr="00F5030C">
        <w:t>is considered to be</w:t>
      </w:r>
      <w:proofErr w:type="gramEnd"/>
      <w:r w:rsidR="00F5030C" w:rsidRPr="00F5030C">
        <w:t xml:space="preserve"> the national model for vehicle emissions standards. In January of 2012, the Air Resources Board approved a new emissions-control program for model years 2017 through </w:t>
      </w:r>
      <w:r w:rsidR="00571D6B" w:rsidRPr="00F5030C">
        <w:t>2025</w:t>
      </w:r>
      <w:r w:rsidR="00571D6B">
        <w:t xml:space="preserve"> referred to as the Advanced Clean Cars (ACC) </w:t>
      </w:r>
      <w:r w:rsidR="00AF1FD4">
        <w:t>program</w:t>
      </w:r>
      <w:r w:rsidR="00AF1FD4" w:rsidRPr="00F5030C">
        <w:t>.</w:t>
      </w:r>
      <w:r w:rsidR="00F5030C" w:rsidRPr="00F5030C">
        <w:t xml:space="preserve"> The </w:t>
      </w:r>
      <w:r w:rsidR="00571D6B">
        <w:t xml:space="preserve">ACC </w:t>
      </w:r>
      <w:r w:rsidR="00F5030C" w:rsidRPr="00F5030C">
        <w:t xml:space="preserve">program combines the control of smog, soot and global warming gases and requirement for greater numbers of zero-emission vehicles into a single package of standards. </w:t>
      </w:r>
    </w:p>
    <w:p w14:paraId="45C1897D" w14:textId="77FD1BD5" w:rsidR="00A73F40" w:rsidRPr="00A73F40" w:rsidRDefault="00A73F40" w:rsidP="005B0121">
      <w:pPr>
        <w:pStyle w:val="ParaText"/>
      </w:pPr>
      <w:r w:rsidRPr="00A73F40">
        <w:rPr>
          <w:b/>
          <w:bCs/>
        </w:rPr>
        <w:t xml:space="preserve">Methodology for Quantifying Impact of Policy: </w:t>
      </w:r>
      <w:r>
        <w:t xml:space="preserve">The California Air Resources Board maintains the EMFAC Web Database, an online database containing </w:t>
      </w:r>
      <w:r w:rsidR="00E93C61">
        <w:t xml:space="preserve">historical and forecasted data on </w:t>
      </w:r>
      <w:r>
        <w:t>st</w:t>
      </w:r>
      <w:r w:rsidR="00E93C61">
        <w:t xml:space="preserve">ate-level vehicle emission rates </w:t>
      </w:r>
      <w:r>
        <w:t xml:space="preserve">through calendar year 2050. </w:t>
      </w:r>
      <w:r w:rsidR="00571D6B">
        <w:t>The EMFAC model accounts for efficiency improvements and penetration rates of electric vehicles in accordance with the ACC program and Federal CAFE standards. Since Massachusetts has adopted the ACC program</w:t>
      </w:r>
      <w:r w:rsidR="002B1B64">
        <w:t xml:space="preserve">, the EMFAC database </w:t>
      </w:r>
      <w:r>
        <w:t xml:space="preserve">was used to calculate forecasted vehicle emission rates for Cambridge. </w:t>
      </w:r>
      <w:r w:rsidR="00936374">
        <w:t xml:space="preserve">EMFAC provides annual VMT and total gallons of fuel consumed by vehicle class and fuel type. </w:t>
      </w:r>
      <w:r w:rsidR="00571D6B">
        <w:t xml:space="preserve">Using this data, it is possible to calculate projected MPG for both gasoline and diesel vehicles and the projected percent of total VMT attributable to gasoline, diesel and electric vehicles. </w:t>
      </w:r>
      <w:r w:rsidR="00571D6B" w:rsidRPr="00571D6B">
        <w:rPr>
          <w:sz w:val="24"/>
        </w:rPr>
        <w:fldChar w:fldCharType="begin"/>
      </w:r>
      <w:r w:rsidR="00571D6B" w:rsidRPr="00571D6B">
        <w:rPr>
          <w:sz w:val="24"/>
        </w:rPr>
        <w:instrText xml:space="preserve"> REF _Ref472499843 \h </w:instrText>
      </w:r>
      <w:r w:rsidR="00571D6B">
        <w:rPr>
          <w:sz w:val="24"/>
        </w:rPr>
        <w:instrText xml:space="preserve"> \* MERGEFORMAT </w:instrText>
      </w:r>
      <w:r w:rsidR="00571D6B" w:rsidRPr="00571D6B">
        <w:rPr>
          <w:sz w:val="24"/>
        </w:rPr>
      </w:r>
      <w:r w:rsidR="00571D6B" w:rsidRPr="00571D6B">
        <w:rPr>
          <w:sz w:val="24"/>
        </w:rPr>
        <w:fldChar w:fldCharType="separate"/>
      </w:r>
      <w:r w:rsidR="004537D3" w:rsidRPr="004537D3">
        <w:rPr>
          <w:szCs w:val="20"/>
        </w:rPr>
        <w:t xml:space="preserve">Table </w:t>
      </w:r>
      <w:r w:rsidR="004537D3" w:rsidRPr="004537D3">
        <w:rPr>
          <w:noProof/>
          <w:szCs w:val="20"/>
        </w:rPr>
        <w:t>18</w:t>
      </w:r>
      <w:r w:rsidR="00571D6B" w:rsidRPr="00571D6B">
        <w:rPr>
          <w:sz w:val="24"/>
        </w:rPr>
        <w:fldChar w:fldCharType="end"/>
      </w:r>
      <w:r w:rsidR="00571D6B" w:rsidRPr="00571D6B">
        <w:rPr>
          <w:sz w:val="24"/>
        </w:rPr>
        <w:t xml:space="preserve"> </w:t>
      </w:r>
      <w:r w:rsidR="00571D6B">
        <w:t xml:space="preserve">below summarizes the impact of the ACC program in terms of vehicle </w:t>
      </w:r>
      <w:r w:rsidR="00571D6B">
        <w:lastRenderedPageBreak/>
        <w:t>efficiency, percent of total Cambridge VMT by fuel type and emissions avoided compared to the BAU scenario by fuel type.</w:t>
      </w:r>
    </w:p>
    <w:p w14:paraId="00118AD4" w14:textId="4421A441" w:rsidR="0053654F" w:rsidRPr="00241AAC" w:rsidRDefault="0053654F" w:rsidP="0053654F">
      <w:pPr>
        <w:pStyle w:val="Caption"/>
        <w:rPr>
          <w:sz w:val="20"/>
          <w:szCs w:val="20"/>
        </w:rPr>
      </w:pPr>
      <w:bookmarkStart w:id="58" w:name="_Ref472499843"/>
      <w:r w:rsidRPr="00241AAC">
        <w:rPr>
          <w:sz w:val="20"/>
          <w:szCs w:val="20"/>
        </w:rPr>
        <w:t xml:space="preserve">Table </w:t>
      </w:r>
      <w:r w:rsidRPr="00241AAC">
        <w:rPr>
          <w:sz w:val="20"/>
          <w:szCs w:val="20"/>
        </w:rPr>
        <w:fldChar w:fldCharType="begin"/>
      </w:r>
      <w:r w:rsidRPr="00241AAC">
        <w:rPr>
          <w:sz w:val="20"/>
          <w:szCs w:val="20"/>
        </w:rPr>
        <w:instrText xml:space="preserve"> SEQ Table \* ARABIC </w:instrText>
      </w:r>
      <w:r w:rsidRPr="00241AAC">
        <w:rPr>
          <w:sz w:val="20"/>
          <w:szCs w:val="20"/>
        </w:rPr>
        <w:fldChar w:fldCharType="separate"/>
      </w:r>
      <w:r w:rsidR="00AD4785">
        <w:rPr>
          <w:noProof/>
          <w:sz w:val="20"/>
          <w:szCs w:val="20"/>
        </w:rPr>
        <w:t>18</w:t>
      </w:r>
      <w:r w:rsidRPr="00241AAC">
        <w:rPr>
          <w:sz w:val="20"/>
          <w:szCs w:val="20"/>
        </w:rPr>
        <w:fldChar w:fldCharType="end"/>
      </w:r>
      <w:bookmarkEnd w:id="58"/>
      <w:r w:rsidRPr="00241AAC">
        <w:rPr>
          <w:sz w:val="20"/>
          <w:szCs w:val="20"/>
        </w:rPr>
        <w:t>: 2030-2050 Vehicle Efficiency Improvements</w:t>
      </w:r>
      <w:r w:rsidR="005F7EBE" w:rsidRPr="00241AAC">
        <w:rPr>
          <w:sz w:val="20"/>
          <w:szCs w:val="20"/>
        </w:rPr>
        <w:t xml:space="preserve">, Percent of Total VMT </w:t>
      </w:r>
      <w:r w:rsidR="00571D6B">
        <w:rPr>
          <w:sz w:val="20"/>
          <w:szCs w:val="20"/>
        </w:rPr>
        <w:t>by Fuel Type</w:t>
      </w:r>
      <w:r w:rsidRPr="00241AAC">
        <w:rPr>
          <w:sz w:val="20"/>
          <w:szCs w:val="20"/>
        </w:rPr>
        <w:t xml:space="preserve"> and Emissions Avoided in Cambridge from </w:t>
      </w:r>
      <w:r w:rsidR="00571D6B">
        <w:rPr>
          <w:sz w:val="20"/>
          <w:szCs w:val="20"/>
        </w:rPr>
        <w:t>Vehicle Efficiency Programs and Projected EV Market Growth</w:t>
      </w:r>
    </w:p>
    <w:tbl>
      <w:tblPr>
        <w:tblStyle w:val="AlternatingRows3"/>
        <w:tblW w:w="0" w:type="auto"/>
        <w:tblLook w:val="04A0" w:firstRow="1" w:lastRow="0" w:firstColumn="1" w:lastColumn="0" w:noHBand="0" w:noVBand="1"/>
      </w:tblPr>
      <w:tblGrid>
        <w:gridCol w:w="1543"/>
        <w:gridCol w:w="2676"/>
        <w:gridCol w:w="1100"/>
        <w:gridCol w:w="1316"/>
        <w:gridCol w:w="1316"/>
        <w:gridCol w:w="1399"/>
      </w:tblGrid>
      <w:tr w:rsidR="0053654F" w:rsidRPr="00241AAC" w14:paraId="0AECAFDE" w14:textId="77777777" w:rsidTr="00571D6B">
        <w:trPr>
          <w:cnfStyle w:val="100000000000" w:firstRow="1" w:lastRow="0" w:firstColumn="0" w:lastColumn="0" w:oddVBand="0" w:evenVBand="0" w:oddHBand="0" w:evenHBand="0" w:firstRowFirstColumn="0" w:firstRowLastColumn="0" w:lastRowFirstColumn="0" w:lastRowLastColumn="0"/>
        </w:trPr>
        <w:tc>
          <w:tcPr>
            <w:tcW w:w="1543" w:type="dxa"/>
          </w:tcPr>
          <w:p w14:paraId="296A265D" w14:textId="77777777" w:rsidR="0053654F" w:rsidRPr="00241AAC" w:rsidRDefault="0053654F" w:rsidP="002B1B64">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Vehicle Category</w:t>
            </w:r>
          </w:p>
        </w:tc>
        <w:tc>
          <w:tcPr>
            <w:tcW w:w="2676" w:type="dxa"/>
          </w:tcPr>
          <w:p w14:paraId="684E78D4" w14:textId="2E6536D0" w:rsidR="0053654F" w:rsidRPr="00241AAC" w:rsidRDefault="002B1B64" w:rsidP="002B1B64">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Data Description</w:t>
            </w:r>
          </w:p>
        </w:tc>
        <w:tc>
          <w:tcPr>
            <w:tcW w:w="1100" w:type="dxa"/>
          </w:tcPr>
          <w:p w14:paraId="257E52F4" w14:textId="77777777" w:rsidR="0053654F" w:rsidRPr="00241AAC" w:rsidRDefault="0053654F" w:rsidP="002B1B64">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2012</w:t>
            </w:r>
          </w:p>
        </w:tc>
        <w:tc>
          <w:tcPr>
            <w:tcW w:w="1316" w:type="dxa"/>
          </w:tcPr>
          <w:p w14:paraId="7A4130BB" w14:textId="77777777" w:rsidR="0053654F" w:rsidRPr="00241AAC" w:rsidRDefault="0053654F" w:rsidP="002B1B64">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2030</w:t>
            </w:r>
          </w:p>
        </w:tc>
        <w:tc>
          <w:tcPr>
            <w:tcW w:w="1316" w:type="dxa"/>
          </w:tcPr>
          <w:p w14:paraId="31F76AD3" w14:textId="77777777" w:rsidR="0053654F" w:rsidRPr="00241AAC" w:rsidRDefault="0053654F" w:rsidP="002B1B64">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2040</w:t>
            </w:r>
          </w:p>
        </w:tc>
        <w:tc>
          <w:tcPr>
            <w:tcW w:w="1399" w:type="dxa"/>
          </w:tcPr>
          <w:p w14:paraId="7BC9E1E9" w14:textId="77777777" w:rsidR="0053654F" w:rsidRPr="00241AAC" w:rsidRDefault="0053654F" w:rsidP="002B1B64">
            <w:pPr>
              <w:pStyle w:val="NoSpacing"/>
              <w:rPr>
                <w:rFonts w:ascii="Times New Roman" w:hAnsi="Times New Roman" w:cs="Times New Roman"/>
                <w:b w:val="0"/>
                <w:bCs/>
                <w:sz w:val="20"/>
                <w:szCs w:val="20"/>
              </w:rPr>
            </w:pPr>
            <w:r w:rsidRPr="00241AAC">
              <w:rPr>
                <w:rFonts w:ascii="Times New Roman" w:hAnsi="Times New Roman" w:cs="Times New Roman"/>
                <w:b w:val="0"/>
                <w:bCs/>
                <w:sz w:val="20"/>
                <w:szCs w:val="20"/>
              </w:rPr>
              <w:t>2050</w:t>
            </w:r>
          </w:p>
        </w:tc>
      </w:tr>
      <w:tr w:rsidR="00FB4BC3" w:rsidRPr="00241AAC" w14:paraId="7493990F" w14:textId="77777777" w:rsidTr="00571D6B">
        <w:trPr>
          <w:cnfStyle w:val="000000100000" w:firstRow="0" w:lastRow="0" w:firstColumn="0" w:lastColumn="0" w:oddVBand="0" w:evenVBand="0" w:oddHBand="1" w:evenHBand="0" w:firstRowFirstColumn="0" w:firstRowLastColumn="0" w:lastRowFirstColumn="0" w:lastRowLastColumn="0"/>
          <w:trHeight w:val="233"/>
        </w:trPr>
        <w:tc>
          <w:tcPr>
            <w:tcW w:w="1543" w:type="dxa"/>
          </w:tcPr>
          <w:p w14:paraId="79EE1201" w14:textId="5CBB198F"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Gasoline</w:t>
            </w:r>
          </w:p>
        </w:tc>
        <w:tc>
          <w:tcPr>
            <w:tcW w:w="2676" w:type="dxa"/>
          </w:tcPr>
          <w:p w14:paraId="3D35ABB2" w14:textId="22C8FC83"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Average MPG</w:t>
            </w:r>
          </w:p>
        </w:tc>
        <w:tc>
          <w:tcPr>
            <w:tcW w:w="1100" w:type="dxa"/>
          </w:tcPr>
          <w:p w14:paraId="4F08A4E7" w14:textId="138BF5C0"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18.8</w:t>
            </w:r>
          </w:p>
        </w:tc>
        <w:tc>
          <w:tcPr>
            <w:tcW w:w="1316" w:type="dxa"/>
          </w:tcPr>
          <w:p w14:paraId="19AB1893" w14:textId="7B5F7726"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33.8</w:t>
            </w:r>
          </w:p>
        </w:tc>
        <w:tc>
          <w:tcPr>
            <w:tcW w:w="1316" w:type="dxa"/>
          </w:tcPr>
          <w:p w14:paraId="53DA6D08" w14:textId="186AFA0C"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38.0</w:t>
            </w:r>
          </w:p>
        </w:tc>
        <w:tc>
          <w:tcPr>
            <w:tcW w:w="1399" w:type="dxa"/>
          </w:tcPr>
          <w:p w14:paraId="7D95BD7E" w14:textId="6C56EC15"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39.0</w:t>
            </w:r>
          </w:p>
        </w:tc>
      </w:tr>
      <w:tr w:rsidR="00FB4BC3" w:rsidRPr="00241AAC" w14:paraId="5DFF8297" w14:textId="77777777" w:rsidTr="00571D6B">
        <w:trPr>
          <w:cnfStyle w:val="000000010000" w:firstRow="0" w:lastRow="0" w:firstColumn="0" w:lastColumn="0" w:oddVBand="0" w:evenVBand="0" w:oddHBand="0" w:evenHBand="1" w:firstRowFirstColumn="0" w:firstRowLastColumn="0" w:lastRowFirstColumn="0" w:lastRowLastColumn="0"/>
          <w:trHeight w:val="233"/>
        </w:trPr>
        <w:tc>
          <w:tcPr>
            <w:tcW w:w="1543" w:type="dxa"/>
          </w:tcPr>
          <w:p w14:paraId="5D63D241" w14:textId="59D903D4"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Diesel</w:t>
            </w:r>
          </w:p>
        </w:tc>
        <w:tc>
          <w:tcPr>
            <w:tcW w:w="2676" w:type="dxa"/>
          </w:tcPr>
          <w:p w14:paraId="5985E08D" w14:textId="5A63EF0D"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Average MPG</w:t>
            </w:r>
          </w:p>
        </w:tc>
        <w:tc>
          <w:tcPr>
            <w:tcW w:w="1100" w:type="dxa"/>
          </w:tcPr>
          <w:p w14:paraId="0004725E" w14:textId="46D699CB"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7.4</w:t>
            </w:r>
          </w:p>
        </w:tc>
        <w:tc>
          <w:tcPr>
            <w:tcW w:w="1316" w:type="dxa"/>
          </w:tcPr>
          <w:p w14:paraId="45A43E44" w14:textId="31D6D2F2"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8.4</w:t>
            </w:r>
          </w:p>
        </w:tc>
        <w:tc>
          <w:tcPr>
            <w:tcW w:w="1316" w:type="dxa"/>
          </w:tcPr>
          <w:p w14:paraId="48F5806F" w14:textId="19674B5C"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8.4</w:t>
            </w:r>
          </w:p>
        </w:tc>
        <w:tc>
          <w:tcPr>
            <w:tcW w:w="1399" w:type="dxa"/>
          </w:tcPr>
          <w:p w14:paraId="0D4CFFD7" w14:textId="4FDD06A5"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8.4</w:t>
            </w:r>
          </w:p>
        </w:tc>
      </w:tr>
      <w:tr w:rsidR="00FB4BC3" w:rsidRPr="00241AAC" w14:paraId="2A9AC6EF" w14:textId="77777777" w:rsidTr="00571D6B">
        <w:trPr>
          <w:cnfStyle w:val="000000100000" w:firstRow="0" w:lastRow="0" w:firstColumn="0" w:lastColumn="0" w:oddVBand="0" w:evenVBand="0" w:oddHBand="1" w:evenHBand="0" w:firstRowFirstColumn="0" w:firstRowLastColumn="0" w:lastRowFirstColumn="0" w:lastRowLastColumn="0"/>
          <w:trHeight w:val="233"/>
        </w:trPr>
        <w:tc>
          <w:tcPr>
            <w:tcW w:w="1543" w:type="dxa"/>
          </w:tcPr>
          <w:p w14:paraId="2E41D07F" w14:textId="4F202651"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Electric</w:t>
            </w:r>
          </w:p>
        </w:tc>
        <w:tc>
          <w:tcPr>
            <w:tcW w:w="2676" w:type="dxa"/>
          </w:tcPr>
          <w:p w14:paraId="2DE8525C" w14:textId="66A41CE0"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Average kWh/Mile</w:t>
            </w:r>
          </w:p>
        </w:tc>
        <w:tc>
          <w:tcPr>
            <w:tcW w:w="1100" w:type="dxa"/>
          </w:tcPr>
          <w:p w14:paraId="44AC4C11" w14:textId="40F4A394"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0.33</w:t>
            </w:r>
          </w:p>
        </w:tc>
        <w:tc>
          <w:tcPr>
            <w:tcW w:w="1316" w:type="dxa"/>
          </w:tcPr>
          <w:p w14:paraId="20EF0E4E" w14:textId="04343551"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0.33</w:t>
            </w:r>
          </w:p>
        </w:tc>
        <w:tc>
          <w:tcPr>
            <w:tcW w:w="1316" w:type="dxa"/>
          </w:tcPr>
          <w:p w14:paraId="0E048FEB" w14:textId="61EE2204"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0.33</w:t>
            </w:r>
          </w:p>
        </w:tc>
        <w:tc>
          <w:tcPr>
            <w:tcW w:w="1399" w:type="dxa"/>
          </w:tcPr>
          <w:p w14:paraId="6011EC15" w14:textId="2414DAF1" w:rsidR="00FB4BC3" w:rsidRPr="00241AAC" w:rsidRDefault="00FB4BC3" w:rsidP="00FB4BC3">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0.33</w:t>
            </w:r>
          </w:p>
        </w:tc>
      </w:tr>
      <w:tr w:rsidR="00571D6B" w:rsidRPr="00241AAC" w14:paraId="68D9EF7B" w14:textId="77777777" w:rsidTr="00571D6B">
        <w:trPr>
          <w:cnfStyle w:val="000000010000" w:firstRow="0" w:lastRow="0" w:firstColumn="0" w:lastColumn="0" w:oddVBand="0" w:evenVBand="0" w:oddHBand="0" w:evenHBand="1" w:firstRowFirstColumn="0" w:firstRowLastColumn="0" w:lastRowFirstColumn="0" w:lastRowLastColumn="0"/>
          <w:trHeight w:val="233"/>
        </w:trPr>
        <w:tc>
          <w:tcPr>
            <w:tcW w:w="1543" w:type="dxa"/>
          </w:tcPr>
          <w:p w14:paraId="0ECE887B" w14:textId="080C03C9" w:rsidR="00571D6B" w:rsidRPr="00241AAC" w:rsidRDefault="00571D6B" w:rsidP="00571D6B">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Gasoline</w:t>
            </w:r>
          </w:p>
        </w:tc>
        <w:tc>
          <w:tcPr>
            <w:tcW w:w="2676" w:type="dxa"/>
          </w:tcPr>
          <w:p w14:paraId="24569F5E" w14:textId="1B24E95E" w:rsidR="00571D6B" w:rsidRPr="00241AAC" w:rsidRDefault="00571D6B" w:rsidP="00571D6B">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Percent of Total VMT</w:t>
            </w:r>
          </w:p>
        </w:tc>
        <w:tc>
          <w:tcPr>
            <w:tcW w:w="1100" w:type="dxa"/>
          </w:tcPr>
          <w:p w14:paraId="2A2C93F8" w14:textId="1037BF26" w:rsidR="00571D6B" w:rsidRPr="00241AAC" w:rsidRDefault="00571D6B" w:rsidP="00571D6B">
            <w:pPr>
              <w:pStyle w:val="NoSpacing"/>
              <w:jc w:val="center"/>
              <w:rPr>
                <w:rFonts w:ascii="Times New Roman" w:hAnsi="Times New Roman" w:cs="Times New Roman"/>
                <w:sz w:val="20"/>
                <w:szCs w:val="20"/>
              </w:rPr>
            </w:pPr>
            <w:r>
              <w:rPr>
                <w:sz w:val="20"/>
                <w:szCs w:val="20"/>
              </w:rPr>
              <w:t>98.6%</w:t>
            </w:r>
          </w:p>
        </w:tc>
        <w:tc>
          <w:tcPr>
            <w:tcW w:w="1316" w:type="dxa"/>
          </w:tcPr>
          <w:p w14:paraId="0B355B20" w14:textId="45ACC0CA" w:rsidR="00571D6B" w:rsidRPr="00241AAC" w:rsidRDefault="00571D6B" w:rsidP="00571D6B">
            <w:pPr>
              <w:pStyle w:val="NoSpacing"/>
              <w:jc w:val="center"/>
              <w:rPr>
                <w:rFonts w:ascii="Times New Roman" w:hAnsi="Times New Roman" w:cs="Times New Roman"/>
                <w:sz w:val="20"/>
                <w:szCs w:val="20"/>
              </w:rPr>
            </w:pPr>
            <w:r>
              <w:rPr>
                <w:sz w:val="20"/>
                <w:szCs w:val="20"/>
              </w:rPr>
              <w:t>91.8%</w:t>
            </w:r>
          </w:p>
        </w:tc>
        <w:tc>
          <w:tcPr>
            <w:tcW w:w="1316" w:type="dxa"/>
          </w:tcPr>
          <w:p w14:paraId="18F59FC9" w14:textId="0F6CD0C4" w:rsidR="00571D6B" w:rsidRPr="00241AAC" w:rsidRDefault="00571D6B" w:rsidP="00571D6B">
            <w:pPr>
              <w:pStyle w:val="NoSpacing"/>
              <w:jc w:val="center"/>
              <w:rPr>
                <w:rFonts w:ascii="Times New Roman" w:hAnsi="Times New Roman" w:cs="Times New Roman"/>
                <w:sz w:val="20"/>
                <w:szCs w:val="20"/>
              </w:rPr>
            </w:pPr>
            <w:r>
              <w:rPr>
                <w:sz w:val="20"/>
                <w:szCs w:val="20"/>
              </w:rPr>
              <w:t>90.1%</w:t>
            </w:r>
          </w:p>
        </w:tc>
        <w:tc>
          <w:tcPr>
            <w:tcW w:w="1399" w:type="dxa"/>
          </w:tcPr>
          <w:p w14:paraId="21FFAE99" w14:textId="5C919856" w:rsidR="00571D6B" w:rsidRPr="00241AAC" w:rsidRDefault="00571D6B" w:rsidP="00571D6B">
            <w:pPr>
              <w:pStyle w:val="NoSpacing"/>
              <w:jc w:val="center"/>
              <w:rPr>
                <w:rFonts w:ascii="Times New Roman" w:hAnsi="Times New Roman" w:cs="Times New Roman"/>
                <w:sz w:val="20"/>
                <w:szCs w:val="20"/>
              </w:rPr>
            </w:pPr>
            <w:r>
              <w:rPr>
                <w:sz w:val="20"/>
                <w:szCs w:val="20"/>
              </w:rPr>
              <w:t>89.9%</w:t>
            </w:r>
          </w:p>
        </w:tc>
      </w:tr>
      <w:tr w:rsidR="00571D6B" w:rsidRPr="00241AAC" w14:paraId="31A2A792" w14:textId="77777777" w:rsidTr="00571D6B">
        <w:trPr>
          <w:cnfStyle w:val="000000100000" w:firstRow="0" w:lastRow="0" w:firstColumn="0" w:lastColumn="0" w:oddVBand="0" w:evenVBand="0" w:oddHBand="1" w:evenHBand="0" w:firstRowFirstColumn="0" w:firstRowLastColumn="0" w:lastRowFirstColumn="0" w:lastRowLastColumn="0"/>
          <w:trHeight w:val="233"/>
        </w:trPr>
        <w:tc>
          <w:tcPr>
            <w:tcW w:w="1543" w:type="dxa"/>
          </w:tcPr>
          <w:p w14:paraId="0BC541F7" w14:textId="51977C07" w:rsidR="00571D6B" w:rsidRPr="00241AAC" w:rsidRDefault="00571D6B" w:rsidP="00571D6B">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Diesel</w:t>
            </w:r>
          </w:p>
        </w:tc>
        <w:tc>
          <w:tcPr>
            <w:tcW w:w="2676" w:type="dxa"/>
          </w:tcPr>
          <w:p w14:paraId="29805302" w14:textId="75F6D8BE" w:rsidR="00571D6B" w:rsidRPr="00241AAC" w:rsidRDefault="00571D6B" w:rsidP="00571D6B">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Percent of Total VMT</w:t>
            </w:r>
          </w:p>
        </w:tc>
        <w:tc>
          <w:tcPr>
            <w:tcW w:w="1100" w:type="dxa"/>
          </w:tcPr>
          <w:p w14:paraId="3AFD48FF" w14:textId="588E10BB" w:rsidR="00571D6B" w:rsidRPr="00241AAC" w:rsidRDefault="00571D6B" w:rsidP="00571D6B">
            <w:pPr>
              <w:pStyle w:val="NoSpacing"/>
              <w:jc w:val="center"/>
              <w:rPr>
                <w:rFonts w:ascii="Times New Roman" w:hAnsi="Times New Roman" w:cs="Times New Roman"/>
                <w:sz w:val="20"/>
                <w:szCs w:val="20"/>
              </w:rPr>
            </w:pPr>
            <w:r>
              <w:rPr>
                <w:sz w:val="20"/>
                <w:szCs w:val="20"/>
              </w:rPr>
              <w:t>1.4%</w:t>
            </w:r>
          </w:p>
        </w:tc>
        <w:tc>
          <w:tcPr>
            <w:tcW w:w="1316" w:type="dxa"/>
          </w:tcPr>
          <w:p w14:paraId="21E62D3D" w14:textId="5D24A894" w:rsidR="00571D6B" w:rsidRPr="00241AAC" w:rsidRDefault="00571D6B" w:rsidP="00571D6B">
            <w:pPr>
              <w:pStyle w:val="NoSpacing"/>
              <w:jc w:val="center"/>
              <w:rPr>
                <w:rFonts w:ascii="Times New Roman" w:hAnsi="Times New Roman" w:cs="Times New Roman"/>
                <w:sz w:val="20"/>
                <w:szCs w:val="20"/>
              </w:rPr>
            </w:pPr>
            <w:r>
              <w:rPr>
                <w:sz w:val="20"/>
                <w:szCs w:val="20"/>
              </w:rPr>
              <w:t>1.4%</w:t>
            </w:r>
          </w:p>
        </w:tc>
        <w:tc>
          <w:tcPr>
            <w:tcW w:w="1316" w:type="dxa"/>
          </w:tcPr>
          <w:p w14:paraId="16624565" w14:textId="62641D04" w:rsidR="00571D6B" w:rsidRPr="00241AAC" w:rsidRDefault="00571D6B" w:rsidP="00571D6B">
            <w:pPr>
              <w:pStyle w:val="NoSpacing"/>
              <w:jc w:val="center"/>
              <w:rPr>
                <w:rFonts w:ascii="Times New Roman" w:hAnsi="Times New Roman" w:cs="Times New Roman"/>
                <w:sz w:val="20"/>
                <w:szCs w:val="20"/>
              </w:rPr>
            </w:pPr>
            <w:r>
              <w:rPr>
                <w:sz w:val="20"/>
                <w:szCs w:val="20"/>
              </w:rPr>
              <w:t>1.4%</w:t>
            </w:r>
          </w:p>
        </w:tc>
        <w:tc>
          <w:tcPr>
            <w:tcW w:w="1399" w:type="dxa"/>
          </w:tcPr>
          <w:p w14:paraId="530CEB10" w14:textId="35BA07D5" w:rsidR="00571D6B" w:rsidRPr="00241AAC" w:rsidRDefault="00571D6B" w:rsidP="00571D6B">
            <w:pPr>
              <w:pStyle w:val="NoSpacing"/>
              <w:jc w:val="center"/>
              <w:rPr>
                <w:rFonts w:ascii="Times New Roman" w:hAnsi="Times New Roman" w:cs="Times New Roman"/>
                <w:sz w:val="20"/>
                <w:szCs w:val="20"/>
              </w:rPr>
            </w:pPr>
            <w:r>
              <w:rPr>
                <w:sz w:val="20"/>
                <w:szCs w:val="20"/>
              </w:rPr>
              <w:t>1.4%</w:t>
            </w:r>
          </w:p>
        </w:tc>
      </w:tr>
      <w:tr w:rsidR="00571D6B" w:rsidRPr="00241AAC" w14:paraId="6E95CF9B" w14:textId="77777777" w:rsidTr="00571D6B">
        <w:trPr>
          <w:cnfStyle w:val="000000010000" w:firstRow="0" w:lastRow="0" w:firstColumn="0" w:lastColumn="0" w:oddVBand="0" w:evenVBand="0" w:oddHBand="0" w:evenHBand="1" w:firstRowFirstColumn="0" w:firstRowLastColumn="0" w:lastRowFirstColumn="0" w:lastRowLastColumn="0"/>
          <w:trHeight w:val="233"/>
        </w:trPr>
        <w:tc>
          <w:tcPr>
            <w:tcW w:w="1543" w:type="dxa"/>
          </w:tcPr>
          <w:p w14:paraId="48034EF3" w14:textId="58CB5FC4" w:rsidR="00571D6B" w:rsidRPr="00241AAC" w:rsidRDefault="00571D6B" w:rsidP="00571D6B">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Electric</w:t>
            </w:r>
          </w:p>
        </w:tc>
        <w:tc>
          <w:tcPr>
            <w:tcW w:w="2676" w:type="dxa"/>
          </w:tcPr>
          <w:p w14:paraId="41F8A1FC" w14:textId="18BCE8ED" w:rsidR="00571D6B" w:rsidRPr="00241AAC" w:rsidRDefault="00571D6B" w:rsidP="00571D6B">
            <w:pPr>
              <w:pStyle w:val="NoSpacing"/>
              <w:jc w:val="center"/>
              <w:rPr>
                <w:rFonts w:ascii="Times New Roman" w:hAnsi="Times New Roman" w:cs="Times New Roman"/>
                <w:sz w:val="20"/>
                <w:szCs w:val="20"/>
              </w:rPr>
            </w:pPr>
            <w:r w:rsidRPr="00241AAC">
              <w:rPr>
                <w:rFonts w:ascii="Times New Roman" w:hAnsi="Times New Roman" w:cs="Times New Roman"/>
                <w:sz w:val="20"/>
                <w:szCs w:val="20"/>
              </w:rPr>
              <w:t>Percent of Total VMT</w:t>
            </w:r>
          </w:p>
        </w:tc>
        <w:tc>
          <w:tcPr>
            <w:tcW w:w="1100" w:type="dxa"/>
          </w:tcPr>
          <w:p w14:paraId="7A6B14FD" w14:textId="3CCB4701" w:rsidR="00571D6B" w:rsidRPr="00241AAC" w:rsidRDefault="00571D6B" w:rsidP="00571D6B">
            <w:pPr>
              <w:pStyle w:val="NoSpacing"/>
              <w:jc w:val="center"/>
              <w:rPr>
                <w:rFonts w:ascii="Times New Roman" w:hAnsi="Times New Roman" w:cs="Times New Roman"/>
                <w:sz w:val="20"/>
                <w:szCs w:val="20"/>
              </w:rPr>
            </w:pPr>
            <w:r>
              <w:rPr>
                <w:sz w:val="20"/>
                <w:szCs w:val="20"/>
              </w:rPr>
              <w:t>0.02%</w:t>
            </w:r>
          </w:p>
        </w:tc>
        <w:tc>
          <w:tcPr>
            <w:tcW w:w="1316" w:type="dxa"/>
          </w:tcPr>
          <w:p w14:paraId="791122F2" w14:textId="5D6FB5EC" w:rsidR="00571D6B" w:rsidRPr="00241AAC" w:rsidRDefault="00571D6B" w:rsidP="00571D6B">
            <w:pPr>
              <w:pStyle w:val="NoSpacing"/>
              <w:jc w:val="center"/>
              <w:rPr>
                <w:rFonts w:ascii="Times New Roman" w:hAnsi="Times New Roman" w:cs="Times New Roman"/>
                <w:sz w:val="20"/>
                <w:szCs w:val="20"/>
              </w:rPr>
            </w:pPr>
            <w:r>
              <w:rPr>
                <w:sz w:val="20"/>
                <w:szCs w:val="20"/>
              </w:rPr>
              <w:t>6.82%</w:t>
            </w:r>
          </w:p>
        </w:tc>
        <w:tc>
          <w:tcPr>
            <w:tcW w:w="1316" w:type="dxa"/>
          </w:tcPr>
          <w:p w14:paraId="217693A1" w14:textId="21A3004B" w:rsidR="00571D6B" w:rsidRPr="00241AAC" w:rsidRDefault="00571D6B" w:rsidP="00571D6B">
            <w:pPr>
              <w:pStyle w:val="NoSpacing"/>
              <w:jc w:val="center"/>
              <w:rPr>
                <w:rFonts w:ascii="Times New Roman" w:hAnsi="Times New Roman" w:cs="Times New Roman"/>
                <w:sz w:val="20"/>
                <w:szCs w:val="20"/>
              </w:rPr>
            </w:pPr>
            <w:r>
              <w:rPr>
                <w:sz w:val="20"/>
                <w:szCs w:val="20"/>
              </w:rPr>
              <w:t>8.55%</w:t>
            </w:r>
          </w:p>
        </w:tc>
        <w:tc>
          <w:tcPr>
            <w:tcW w:w="1399" w:type="dxa"/>
          </w:tcPr>
          <w:p w14:paraId="5D0A48C0" w14:textId="054F03C2" w:rsidR="00571D6B" w:rsidRPr="00241AAC" w:rsidRDefault="00571D6B" w:rsidP="00571D6B">
            <w:pPr>
              <w:pStyle w:val="NoSpacing"/>
              <w:jc w:val="center"/>
              <w:rPr>
                <w:rFonts w:ascii="Times New Roman" w:hAnsi="Times New Roman" w:cs="Times New Roman"/>
                <w:sz w:val="20"/>
                <w:szCs w:val="20"/>
              </w:rPr>
            </w:pPr>
            <w:r>
              <w:rPr>
                <w:sz w:val="20"/>
                <w:szCs w:val="20"/>
              </w:rPr>
              <w:t>8.76%</w:t>
            </w:r>
          </w:p>
        </w:tc>
      </w:tr>
      <w:tr w:rsidR="00571D6B" w:rsidRPr="00241AAC" w14:paraId="358B195D" w14:textId="77777777" w:rsidTr="00C5272F">
        <w:trPr>
          <w:cnfStyle w:val="000000100000" w:firstRow="0" w:lastRow="0" w:firstColumn="0" w:lastColumn="0" w:oddVBand="0" w:evenVBand="0" w:oddHBand="1" w:evenHBand="0" w:firstRowFirstColumn="0" w:firstRowLastColumn="0" w:lastRowFirstColumn="0" w:lastRowLastColumn="0"/>
          <w:trHeight w:val="233"/>
        </w:trPr>
        <w:tc>
          <w:tcPr>
            <w:tcW w:w="4219" w:type="dxa"/>
            <w:gridSpan w:val="2"/>
            <w:tcBorders>
              <w:bottom w:val="dotted" w:sz="4" w:space="0" w:color="auto"/>
            </w:tcBorders>
            <w:vAlign w:val="top"/>
          </w:tcPr>
          <w:p w14:paraId="31DFFFCF" w14:textId="76FB0AB7" w:rsidR="00571D6B" w:rsidRPr="00241AAC" w:rsidRDefault="00571D6B" w:rsidP="00571D6B">
            <w:pPr>
              <w:pStyle w:val="NoSpacing"/>
              <w:jc w:val="center"/>
              <w:rPr>
                <w:rFonts w:ascii="Times New Roman" w:hAnsi="Times New Roman" w:cs="Times New Roman"/>
                <w:sz w:val="20"/>
                <w:szCs w:val="20"/>
              </w:rPr>
            </w:pPr>
            <w:r>
              <w:rPr>
                <w:sz w:val="20"/>
                <w:szCs w:val="20"/>
              </w:rPr>
              <w:t>Emissions Avoided from CAFE + Advanced Clean Car program (MT CO2e)</w:t>
            </w:r>
          </w:p>
        </w:tc>
        <w:tc>
          <w:tcPr>
            <w:tcW w:w="1100" w:type="dxa"/>
            <w:tcBorders>
              <w:bottom w:val="dotted" w:sz="4" w:space="0" w:color="auto"/>
            </w:tcBorders>
          </w:tcPr>
          <w:p w14:paraId="79657F1D" w14:textId="17D6F476" w:rsidR="00571D6B" w:rsidRPr="00241AAC" w:rsidRDefault="00571D6B" w:rsidP="00571D6B">
            <w:pPr>
              <w:pStyle w:val="NoSpacing"/>
              <w:jc w:val="center"/>
              <w:rPr>
                <w:rFonts w:ascii="Times New Roman" w:hAnsi="Times New Roman" w:cs="Times New Roman"/>
                <w:sz w:val="20"/>
                <w:szCs w:val="20"/>
              </w:rPr>
            </w:pPr>
            <w:r>
              <w:rPr>
                <w:sz w:val="20"/>
                <w:szCs w:val="20"/>
              </w:rPr>
              <w:t>N/A</w:t>
            </w:r>
          </w:p>
        </w:tc>
        <w:tc>
          <w:tcPr>
            <w:tcW w:w="1316" w:type="dxa"/>
            <w:tcBorders>
              <w:bottom w:val="dotted" w:sz="4" w:space="0" w:color="auto"/>
            </w:tcBorders>
          </w:tcPr>
          <w:p w14:paraId="45CA7059" w14:textId="2C6D0E96" w:rsidR="00571D6B" w:rsidRPr="00241AAC" w:rsidRDefault="00571D6B" w:rsidP="00571D6B">
            <w:pPr>
              <w:pStyle w:val="NoSpacing"/>
              <w:jc w:val="center"/>
              <w:rPr>
                <w:rFonts w:ascii="Times New Roman" w:hAnsi="Times New Roman" w:cs="Times New Roman"/>
                <w:sz w:val="20"/>
                <w:szCs w:val="20"/>
              </w:rPr>
            </w:pPr>
            <w:r>
              <w:rPr>
                <w:sz w:val="20"/>
                <w:szCs w:val="20"/>
              </w:rPr>
              <w:t>64,211</w:t>
            </w:r>
          </w:p>
        </w:tc>
        <w:tc>
          <w:tcPr>
            <w:tcW w:w="1316" w:type="dxa"/>
            <w:tcBorders>
              <w:bottom w:val="dotted" w:sz="4" w:space="0" w:color="auto"/>
            </w:tcBorders>
          </w:tcPr>
          <w:p w14:paraId="0244E712" w14:textId="6ED5616A" w:rsidR="00571D6B" w:rsidRPr="00241AAC" w:rsidRDefault="00571D6B" w:rsidP="00571D6B">
            <w:pPr>
              <w:pStyle w:val="NoSpacing"/>
              <w:jc w:val="center"/>
              <w:rPr>
                <w:rFonts w:ascii="Times New Roman" w:hAnsi="Times New Roman" w:cs="Times New Roman"/>
                <w:sz w:val="20"/>
                <w:szCs w:val="20"/>
              </w:rPr>
            </w:pPr>
            <w:r>
              <w:rPr>
                <w:sz w:val="20"/>
                <w:szCs w:val="20"/>
              </w:rPr>
              <w:t>78,273</w:t>
            </w:r>
          </w:p>
        </w:tc>
        <w:tc>
          <w:tcPr>
            <w:tcW w:w="1399" w:type="dxa"/>
            <w:tcBorders>
              <w:bottom w:val="dotted" w:sz="4" w:space="0" w:color="auto"/>
            </w:tcBorders>
          </w:tcPr>
          <w:p w14:paraId="28613DC3" w14:textId="0B06FFF2" w:rsidR="00571D6B" w:rsidRPr="00241AAC" w:rsidRDefault="00571D6B" w:rsidP="00571D6B">
            <w:pPr>
              <w:pStyle w:val="NoSpacing"/>
              <w:jc w:val="center"/>
              <w:rPr>
                <w:rFonts w:ascii="Times New Roman" w:hAnsi="Times New Roman" w:cs="Times New Roman"/>
                <w:sz w:val="20"/>
                <w:szCs w:val="20"/>
              </w:rPr>
            </w:pPr>
            <w:r>
              <w:rPr>
                <w:sz w:val="20"/>
                <w:szCs w:val="20"/>
              </w:rPr>
              <w:t>84,735</w:t>
            </w:r>
          </w:p>
        </w:tc>
      </w:tr>
      <w:tr w:rsidR="00571D6B" w:rsidRPr="00241AAC" w14:paraId="3A9DD551" w14:textId="77777777" w:rsidTr="00C5272F">
        <w:trPr>
          <w:cnfStyle w:val="000000010000" w:firstRow="0" w:lastRow="0" w:firstColumn="0" w:lastColumn="0" w:oddVBand="0" w:evenVBand="0" w:oddHBand="0" w:evenHBand="1" w:firstRowFirstColumn="0" w:firstRowLastColumn="0" w:lastRowFirstColumn="0" w:lastRowLastColumn="0"/>
          <w:trHeight w:val="233"/>
        </w:trPr>
        <w:tc>
          <w:tcPr>
            <w:tcW w:w="4219" w:type="dxa"/>
            <w:gridSpan w:val="2"/>
            <w:tcBorders>
              <w:top w:val="dotted" w:sz="4" w:space="0" w:color="auto"/>
              <w:bottom w:val="dotted" w:sz="4" w:space="0" w:color="auto"/>
            </w:tcBorders>
            <w:shd w:val="clear" w:color="auto" w:fill="FFFFFF" w:themeFill="background1"/>
          </w:tcPr>
          <w:p w14:paraId="5180E4DD" w14:textId="40FA9E13" w:rsidR="00571D6B" w:rsidRPr="00241AAC" w:rsidRDefault="00571D6B" w:rsidP="00571D6B">
            <w:pPr>
              <w:pStyle w:val="NoSpacing"/>
              <w:jc w:val="center"/>
              <w:rPr>
                <w:rFonts w:ascii="Times New Roman" w:hAnsi="Times New Roman" w:cs="Times New Roman"/>
                <w:sz w:val="20"/>
                <w:szCs w:val="20"/>
              </w:rPr>
            </w:pPr>
            <w:r>
              <w:rPr>
                <w:sz w:val="20"/>
                <w:szCs w:val="20"/>
              </w:rPr>
              <w:t>Emissions Avoided from Projected EV Market Growth</w:t>
            </w:r>
          </w:p>
        </w:tc>
        <w:tc>
          <w:tcPr>
            <w:tcW w:w="1100" w:type="dxa"/>
            <w:tcBorders>
              <w:top w:val="dotted" w:sz="4" w:space="0" w:color="auto"/>
              <w:bottom w:val="dotted" w:sz="4" w:space="0" w:color="auto"/>
            </w:tcBorders>
            <w:shd w:val="clear" w:color="auto" w:fill="FFFFFF" w:themeFill="background1"/>
          </w:tcPr>
          <w:p w14:paraId="58D8D590" w14:textId="698F0808" w:rsidR="00571D6B" w:rsidRPr="00241AAC" w:rsidRDefault="00571D6B" w:rsidP="00571D6B">
            <w:pPr>
              <w:pStyle w:val="NoSpacing"/>
              <w:jc w:val="center"/>
              <w:rPr>
                <w:rFonts w:ascii="Times New Roman" w:hAnsi="Times New Roman" w:cs="Times New Roman"/>
                <w:sz w:val="20"/>
                <w:szCs w:val="20"/>
              </w:rPr>
            </w:pPr>
            <w:r>
              <w:rPr>
                <w:sz w:val="20"/>
                <w:szCs w:val="20"/>
              </w:rPr>
              <w:t>N/A</w:t>
            </w:r>
          </w:p>
        </w:tc>
        <w:tc>
          <w:tcPr>
            <w:tcW w:w="1316" w:type="dxa"/>
            <w:tcBorders>
              <w:top w:val="dotted" w:sz="4" w:space="0" w:color="auto"/>
              <w:bottom w:val="dotted" w:sz="4" w:space="0" w:color="auto"/>
            </w:tcBorders>
            <w:shd w:val="clear" w:color="auto" w:fill="FFFFFF" w:themeFill="background1"/>
          </w:tcPr>
          <w:p w14:paraId="1185E901" w14:textId="2F33FF89" w:rsidR="00571D6B" w:rsidRPr="00241AAC" w:rsidRDefault="00571D6B" w:rsidP="00571D6B">
            <w:pPr>
              <w:pStyle w:val="NoSpacing"/>
              <w:jc w:val="center"/>
              <w:rPr>
                <w:rFonts w:ascii="Times New Roman" w:hAnsi="Times New Roman" w:cs="Times New Roman"/>
                <w:sz w:val="20"/>
                <w:szCs w:val="20"/>
              </w:rPr>
            </w:pPr>
            <w:r>
              <w:rPr>
                <w:sz w:val="20"/>
                <w:szCs w:val="20"/>
              </w:rPr>
              <w:t>4,530</w:t>
            </w:r>
          </w:p>
        </w:tc>
        <w:tc>
          <w:tcPr>
            <w:tcW w:w="1316" w:type="dxa"/>
            <w:tcBorders>
              <w:top w:val="dotted" w:sz="4" w:space="0" w:color="auto"/>
              <w:bottom w:val="dotted" w:sz="4" w:space="0" w:color="auto"/>
            </w:tcBorders>
            <w:shd w:val="clear" w:color="auto" w:fill="FFFFFF" w:themeFill="background1"/>
          </w:tcPr>
          <w:p w14:paraId="59489039" w14:textId="78DF026F" w:rsidR="00571D6B" w:rsidRPr="00241AAC" w:rsidRDefault="00571D6B" w:rsidP="00571D6B">
            <w:pPr>
              <w:pStyle w:val="NoSpacing"/>
              <w:jc w:val="center"/>
              <w:rPr>
                <w:rFonts w:ascii="Times New Roman" w:hAnsi="Times New Roman" w:cs="Times New Roman"/>
                <w:sz w:val="20"/>
                <w:szCs w:val="20"/>
              </w:rPr>
            </w:pPr>
            <w:r>
              <w:rPr>
                <w:sz w:val="20"/>
                <w:szCs w:val="20"/>
              </w:rPr>
              <w:t>5,427</w:t>
            </w:r>
          </w:p>
        </w:tc>
        <w:tc>
          <w:tcPr>
            <w:tcW w:w="1399" w:type="dxa"/>
            <w:tcBorders>
              <w:top w:val="dotted" w:sz="4" w:space="0" w:color="auto"/>
              <w:bottom w:val="dotted" w:sz="4" w:space="0" w:color="auto"/>
            </w:tcBorders>
            <w:shd w:val="clear" w:color="auto" w:fill="FFFFFF" w:themeFill="background1"/>
          </w:tcPr>
          <w:p w14:paraId="4FD1B1C6" w14:textId="1E6D4A19" w:rsidR="00571D6B" w:rsidRPr="00241AAC" w:rsidRDefault="00571D6B" w:rsidP="00571D6B">
            <w:pPr>
              <w:pStyle w:val="NoSpacing"/>
              <w:jc w:val="center"/>
              <w:rPr>
                <w:rFonts w:ascii="Times New Roman" w:hAnsi="Times New Roman" w:cs="Times New Roman"/>
                <w:sz w:val="20"/>
                <w:szCs w:val="20"/>
              </w:rPr>
            </w:pPr>
            <w:r>
              <w:rPr>
                <w:sz w:val="20"/>
                <w:szCs w:val="20"/>
              </w:rPr>
              <w:t>6,161</w:t>
            </w:r>
          </w:p>
        </w:tc>
      </w:tr>
      <w:tr w:rsidR="00571D6B" w:rsidRPr="00241AAC" w14:paraId="44823A07" w14:textId="77777777" w:rsidTr="00C5272F">
        <w:trPr>
          <w:cnfStyle w:val="000000100000" w:firstRow="0" w:lastRow="0" w:firstColumn="0" w:lastColumn="0" w:oddVBand="0" w:evenVBand="0" w:oddHBand="1" w:evenHBand="0" w:firstRowFirstColumn="0" w:firstRowLastColumn="0" w:lastRowFirstColumn="0" w:lastRowLastColumn="0"/>
          <w:trHeight w:val="233"/>
        </w:trPr>
        <w:tc>
          <w:tcPr>
            <w:tcW w:w="4219" w:type="dxa"/>
            <w:gridSpan w:val="2"/>
          </w:tcPr>
          <w:p w14:paraId="1FAF8AD6" w14:textId="38CFDA3F" w:rsidR="00571D6B" w:rsidRPr="00241AAC" w:rsidRDefault="00571D6B" w:rsidP="00571D6B">
            <w:pPr>
              <w:pStyle w:val="NoSpacing"/>
              <w:jc w:val="center"/>
              <w:rPr>
                <w:rFonts w:ascii="Times New Roman" w:hAnsi="Times New Roman" w:cs="Times New Roman"/>
                <w:sz w:val="20"/>
                <w:szCs w:val="20"/>
              </w:rPr>
            </w:pPr>
            <w:r>
              <w:rPr>
                <w:b/>
                <w:bCs/>
                <w:sz w:val="20"/>
                <w:szCs w:val="20"/>
              </w:rPr>
              <w:t>Total Emissions Avoided from Vehicle Efficiency Standards + EV Market Growth</w:t>
            </w:r>
          </w:p>
        </w:tc>
        <w:tc>
          <w:tcPr>
            <w:tcW w:w="1100" w:type="dxa"/>
          </w:tcPr>
          <w:p w14:paraId="2C6DE858" w14:textId="18F48558" w:rsidR="00571D6B" w:rsidRPr="00241AAC" w:rsidRDefault="00571D6B" w:rsidP="00571D6B">
            <w:pPr>
              <w:pStyle w:val="NoSpacing"/>
              <w:jc w:val="center"/>
              <w:rPr>
                <w:rFonts w:ascii="Times New Roman" w:hAnsi="Times New Roman" w:cs="Times New Roman"/>
                <w:sz w:val="20"/>
                <w:szCs w:val="20"/>
              </w:rPr>
            </w:pPr>
            <w:r>
              <w:rPr>
                <w:b/>
                <w:bCs/>
                <w:sz w:val="20"/>
                <w:szCs w:val="20"/>
              </w:rPr>
              <w:t>N/A</w:t>
            </w:r>
          </w:p>
        </w:tc>
        <w:tc>
          <w:tcPr>
            <w:tcW w:w="1316" w:type="dxa"/>
          </w:tcPr>
          <w:p w14:paraId="0F773F14" w14:textId="77AC4E5E" w:rsidR="00571D6B" w:rsidRPr="00241AAC" w:rsidRDefault="00571D6B" w:rsidP="00571D6B">
            <w:pPr>
              <w:pStyle w:val="NoSpacing"/>
              <w:jc w:val="center"/>
              <w:rPr>
                <w:rFonts w:ascii="Times New Roman" w:hAnsi="Times New Roman" w:cs="Times New Roman"/>
                <w:sz w:val="20"/>
                <w:szCs w:val="20"/>
              </w:rPr>
            </w:pPr>
            <w:r>
              <w:rPr>
                <w:b/>
                <w:bCs/>
                <w:sz w:val="20"/>
                <w:szCs w:val="20"/>
              </w:rPr>
              <w:t>68,742</w:t>
            </w:r>
          </w:p>
        </w:tc>
        <w:tc>
          <w:tcPr>
            <w:tcW w:w="1316" w:type="dxa"/>
          </w:tcPr>
          <w:p w14:paraId="6CBBA433" w14:textId="28475E57" w:rsidR="00571D6B" w:rsidRPr="00241AAC" w:rsidRDefault="00571D6B" w:rsidP="00571D6B">
            <w:pPr>
              <w:pStyle w:val="NoSpacing"/>
              <w:jc w:val="center"/>
              <w:rPr>
                <w:rFonts w:ascii="Times New Roman" w:hAnsi="Times New Roman" w:cs="Times New Roman"/>
                <w:sz w:val="20"/>
                <w:szCs w:val="20"/>
              </w:rPr>
            </w:pPr>
            <w:r>
              <w:rPr>
                <w:b/>
                <w:bCs/>
                <w:sz w:val="20"/>
                <w:szCs w:val="20"/>
              </w:rPr>
              <w:t>83,700</w:t>
            </w:r>
          </w:p>
        </w:tc>
        <w:tc>
          <w:tcPr>
            <w:tcW w:w="1399" w:type="dxa"/>
          </w:tcPr>
          <w:p w14:paraId="759732BC" w14:textId="54FB028D" w:rsidR="00571D6B" w:rsidRPr="00241AAC" w:rsidRDefault="00571D6B" w:rsidP="00571D6B">
            <w:pPr>
              <w:pStyle w:val="NoSpacing"/>
              <w:jc w:val="center"/>
              <w:rPr>
                <w:rFonts w:ascii="Times New Roman" w:hAnsi="Times New Roman" w:cs="Times New Roman"/>
                <w:sz w:val="20"/>
                <w:szCs w:val="20"/>
              </w:rPr>
            </w:pPr>
            <w:r>
              <w:rPr>
                <w:b/>
                <w:bCs/>
                <w:sz w:val="20"/>
                <w:szCs w:val="20"/>
              </w:rPr>
              <w:t>90,896</w:t>
            </w:r>
          </w:p>
        </w:tc>
      </w:tr>
    </w:tbl>
    <w:p w14:paraId="39607B26" w14:textId="247C0788" w:rsidR="00AE1931" w:rsidRDefault="00AE1931" w:rsidP="00AE1931">
      <w:pPr>
        <w:pStyle w:val="ParaText"/>
      </w:pPr>
    </w:p>
    <w:p w14:paraId="4870A523" w14:textId="0FFEA82D" w:rsidR="00AE1931" w:rsidRDefault="00AE1931" w:rsidP="005B0121">
      <w:pPr>
        <w:pStyle w:val="ParaText"/>
      </w:pPr>
      <w:r>
        <w:t>Average MPG for gasoline and diesel vehicle was pulled directly from EMFAC. Average kWh/mile for electric vehicles is estimated using FuelEconomy.Gov data on the current efficiency of the top three selling electric vehicles (Nissan Leaf, Chevro</w:t>
      </w:r>
      <w:r w:rsidR="00DB3FBD">
        <w:t>let Volt, Toyota Prius plug-in)</w:t>
      </w:r>
      <w:r w:rsidR="005B0121" w:rsidRPr="000A47ED">
        <w:rPr>
          <w:rStyle w:val="FootnoteReference"/>
          <w:sz w:val="18"/>
          <w:szCs w:val="18"/>
        </w:rPr>
        <w:footnoteReference w:id="20"/>
      </w:r>
      <w:r w:rsidR="00DB3FBD">
        <w:t xml:space="preserve">. EMFAC estimates the percent of California statewide VMT from EVs </w:t>
      </w:r>
      <w:r w:rsidR="005B0121">
        <w:t>for each year through 2050</w:t>
      </w:r>
      <w:r w:rsidR="00DB3FBD">
        <w:t xml:space="preserve">. Due to a lack of Cambridge-specific data on the future percent of citywide VMT from EVs, the EMFAC forecasted percentage of California statewide VMT from EVs was used as a proxy for Cambridge.  </w:t>
      </w:r>
      <w:r>
        <w:t xml:space="preserve">It was assumed that a future increase in the percentage of total Cambridge VMT from EVs would lead to a decrease in the percent of VMT from gasoline vehicles but have no impact on the percent of VMT from diesel vehicles. Emissions avoided (compared to the BAU scenario) from gasoline and diesel vehicles are the result of future efficiency improvements in these vehicle types. </w:t>
      </w:r>
      <w:r w:rsidR="00571D6B">
        <w:t xml:space="preserve">Emissions avoided (compared to BAU scenario) from electric vehicles are the result of gasoline vehicles being replaced by less carbon-intensive electric vehicles. </w:t>
      </w:r>
    </w:p>
    <w:p w14:paraId="5F443B11" w14:textId="77777777" w:rsidR="008623A5" w:rsidRPr="00B471CF" w:rsidRDefault="00710E5B" w:rsidP="00867E62">
      <w:pPr>
        <w:pStyle w:val="Heading4"/>
        <w:numPr>
          <w:ilvl w:val="0"/>
          <w:numId w:val="0"/>
        </w:numPr>
        <w:ind w:left="1134" w:hanging="1134"/>
        <w:rPr>
          <w:b w:val="0"/>
          <w:bCs/>
        </w:rPr>
      </w:pPr>
      <w:r w:rsidRPr="00B471CF">
        <w:rPr>
          <w:rStyle w:val="Heading4Char"/>
          <w:b/>
          <w:bCs/>
        </w:rPr>
        <w:t xml:space="preserve">Massachusetts Renewable </w:t>
      </w:r>
      <w:r w:rsidR="008623A5" w:rsidRPr="00B471CF">
        <w:rPr>
          <w:rStyle w:val="Heading4Char"/>
          <w:b/>
          <w:bCs/>
        </w:rPr>
        <w:t>Energy Portfolio Standard (RPS)</w:t>
      </w:r>
      <w:r w:rsidRPr="00B471CF">
        <w:rPr>
          <w:b w:val="0"/>
          <w:bCs/>
        </w:rPr>
        <w:t xml:space="preserve"> </w:t>
      </w:r>
    </w:p>
    <w:p w14:paraId="28492260" w14:textId="208C95A8" w:rsidR="00B471CF" w:rsidRPr="00B471CF" w:rsidRDefault="00B471CF" w:rsidP="00B471CF">
      <w:pPr>
        <w:pStyle w:val="BodyText"/>
      </w:pPr>
    </w:p>
    <w:p w14:paraId="307423F5" w14:textId="017EA98B" w:rsidR="008623A5" w:rsidRDefault="008623A5" w:rsidP="004615AB">
      <w:pPr>
        <w:pStyle w:val="ParaText"/>
        <w:rPr>
          <w:lang w:val="en-GB"/>
        </w:rPr>
      </w:pPr>
      <w:r w:rsidRPr="00A73F40">
        <w:rPr>
          <w:b/>
          <w:bCs/>
        </w:rPr>
        <w:t xml:space="preserve">Description of Policy: </w:t>
      </w:r>
      <w:r w:rsidR="00710E5B" w:rsidRPr="00710E5B">
        <w:rPr>
          <w:lang w:val="en-GB"/>
        </w:rPr>
        <w:t xml:space="preserve">The Massachusetts Renewable Energy Portfolio Standard (RPS) is a statutory obligation that suppliers (both regulated distribution utilities and competitive suppliers) obtain a </w:t>
      </w:r>
      <w:r w:rsidR="00710E5B" w:rsidRPr="00710E5B">
        <w:rPr>
          <w:lang w:val="en-GB"/>
        </w:rPr>
        <w:lastRenderedPageBreak/>
        <w:t xml:space="preserve">percentage </w:t>
      </w:r>
      <w:r w:rsidR="00710E5B">
        <w:rPr>
          <w:lang w:val="en-GB"/>
        </w:rPr>
        <w:t>of electricity from qualifying u</w:t>
      </w:r>
      <w:r w:rsidR="00710E5B" w:rsidRPr="00710E5B">
        <w:rPr>
          <w:lang w:val="en-GB"/>
        </w:rPr>
        <w:t xml:space="preserve">nits for their retail customers. The RPS began with an obligation of </w:t>
      </w:r>
      <w:r w:rsidR="00571D6B">
        <w:rPr>
          <w:lang w:val="en-GB"/>
        </w:rPr>
        <w:t xml:space="preserve">1% </w:t>
      </w:r>
      <w:r w:rsidR="00710E5B" w:rsidRPr="00710E5B">
        <w:rPr>
          <w:lang w:val="en-GB"/>
        </w:rPr>
        <w:t xml:space="preserve">in 2003, and then increased by </w:t>
      </w:r>
      <w:r w:rsidR="00571D6B">
        <w:rPr>
          <w:lang w:val="en-GB"/>
        </w:rPr>
        <w:t xml:space="preserve">0.5% </w:t>
      </w:r>
      <w:r w:rsidR="00710E5B" w:rsidRPr="00710E5B">
        <w:rPr>
          <w:lang w:val="en-GB"/>
        </w:rPr>
        <w:t xml:space="preserve">annually until it reached 4% in 2009. In 2009, as a part of the Green Communities Act of 2008, the RPS was broken into RPS Class I </w:t>
      </w:r>
      <w:r w:rsidR="004615AB">
        <w:rPr>
          <w:lang w:val="en-GB"/>
        </w:rPr>
        <w:t xml:space="preserve">(New Resources) </w:t>
      </w:r>
      <w:r w:rsidR="00710E5B" w:rsidRPr="00710E5B">
        <w:rPr>
          <w:lang w:val="en-GB"/>
        </w:rPr>
        <w:t>and RPS Class II</w:t>
      </w:r>
      <w:r w:rsidR="004615AB">
        <w:rPr>
          <w:lang w:val="en-GB"/>
        </w:rPr>
        <w:t xml:space="preserve"> (Existing Resource)</w:t>
      </w:r>
      <w:r w:rsidR="00710E5B" w:rsidRPr="00710E5B">
        <w:rPr>
          <w:lang w:val="en-GB"/>
        </w:rPr>
        <w:t xml:space="preserve"> and the Class I annual obligation was set to increase by 1% annu</w:t>
      </w:r>
      <w:r w:rsidR="00710E5B">
        <w:rPr>
          <w:lang w:val="en-GB"/>
        </w:rPr>
        <w:t>ally. Each class has different s</w:t>
      </w:r>
      <w:r w:rsidR="00710E5B" w:rsidRPr="00710E5B">
        <w:rPr>
          <w:lang w:val="en-GB"/>
        </w:rPr>
        <w:t>upplier compliance percentages, as well as different qualifying generation units used to meet the compliance percentage.</w:t>
      </w:r>
      <w:r w:rsidR="004615AB">
        <w:rPr>
          <w:lang w:val="en-GB"/>
        </w:rPr>
        <w:t xml:space="preserve"> This established growth target for Class I renewables puts Massachusetts on pace to achieve the State target of at least 15% of total electricity sold from Class I renewables in 2020. This </w:t>
      </w:r>
      <w:r w:rsidR="00571D6B">
        <w:rPr>
          <w:lang w:val="en-GB"/>
        </w:rPr>
        <w:t xml:space="preserve">target of </w:t>
      </w:r>
      <w:r w:rsidR="004615AB">
        <w:rPr>
          <w:lang w:val="en-GB"/>
        </w:rPr>
        <w:t xml:space="preserve">15% of all electricity sold from Class I renewables by 2020 is in addition to the percent </w:t>
      </w:r>
      <w:r w:rsidR="005805B7">
        <w:rPr>
          <w:lang w:val="en-GB"/>
        </w:rPr>
        <w:t xml:space="preserve">or electricity sold from Class II renewables, which </w:t>
      </w:r>
      <w:r w:rsidR="00A47EA0">
        <w:rPr>
          <w:lang w:val="en-GB"/>
        </w:rPr>
        <w:t>was</w:t>
      </w:r>
      <w:r w:rsidR="005805B7">
        <w:rPr>
          <w:lang w:val="en-GB"/>
        </w:rPr>
        <w:t xml:space="preserve"> set to be 6.03% in 2016</w:t>
      </w:r>
      <w:r w:rsidR="005805B7" w:rsidRPr="000A47ED">
        <w:rPr>
          <w:rStyle w:val="FootnoteReference"/>
          <w:sz w:val="18"/>
          <w:szCs w:val="18"/>
          <w:lang w:val="en-GB"/>
        </w:rPr>
        <w:footnoteReference w:id="21"/>
      </w:r>
      <w:r w:rsidR="005805B7">
        <w:rPr>
          <w:lang w:val="en-GB"/>
        </w:rPr>
        <w:t>.</w:t>
      </w:r>
    </w:p>
    <w:p w14:paraId="59BBAA58" w14:textId="38C6E56E" w:rsidR="006A38D3" w:rsidRDefault="008623A5" w:rsidP="00A20F6F">
      <w:pPr>
        <w:pStyle w:val="ParaText"/>
      </w:pPr>
      <w:r w:rsidRPr="00A73F40">
        <w:rPr>
          <w:b/>
          <w:bCs/>
        </w:rPr>
        <w:t>Methodology for Quantifying Impact of Policy:</w:t>
      </w:r>
      <w:r w:rsidR="006A38D3">
        <w:rPr>
          <w:b/>
          <w:bCs/>
        </w:rPr>
        <w:t xml:space="preserve"> </w:t>
      </w:r>
      <w:r w:rsidR="006A38D3">
        <w:t>This analysis estimated future percent decrease for the electricity factor of grid electricity in Cambridge based on a percent increase in the percent of renewables electricity suppliers in the State are required by law to provide. The percent of electricity sold in 2012 supplied by Class I renewables (7.0%)</w:t>
      </w:r>
      <w:r w:rsidR="00E93C61" w:rsidRPr="000A47ED">
        <w:rPr>
          <w:rStyle w:val="FootnoteReference"/>
          <w:sz w:val="18"/>
          <w:szCs w:val="18"/>
        </w:rPr>
        <w:footnoteReference w:id="22"/>
      </w:r>
      <w:r w:rsidR="006A38D3">
        <w:t xml:space="preserve"> and the percent supplied by Class II renewables (7.1%)</w:t>
      </w:r>
      <w:r w:rsidR="00E93C61" w:rsidRPr="000A47ED">
        <w:rPr>
          <w:rStyle w:val="FootnoteReference"/>
          <w:sz w:val="18"/>
          <w:szCs w:val="18"/>
        </w:rPr>
        <w:footnoteReference w:id="23"/>
      </w:r>
      <w:r w:rsidR="006A38D3">
        <w:t xml:space="preserve"> was summed to establish a baseline of 14.1% of electricity sold supplied from either Class I or Class II renewables. Class I renewables were assumed to increase 1% per year in accordance with RPS policy. Class II renewables were assumed to hold constant at the 2016 percent of total electricity sold (6.03%).</w:t>
      </w:r>
      <w:r w:rsidR="006A1766">
        <w:t xml:space="preserve"> </w:t>
      </w:r>
      <w:r w:rsidR="006A38D3">
        <w:t xml:space="preserve"> </w:t>
      </w:r>
      <w:r w:rsidR="006A1766" w:rsidRPr="001C70FC">
        <w:rPr>
          <w:sz w:val="24"/>
        </w:rPr>
        <w:fldChar w:fldCharType="begin"/>
      </w:r>
      <w:r w:rsidR="006A1766" w:rsidRPr="001C70FC">
        <w:rPr>
          <w:sz w:val="24"/>
        </w:rPr>
        <w:instrText xml:space="preserve"> REF _Ref472947378 \h </w:instrText>
      </w:r>
      <w:r w:rsidR="001C70FC">
        <w:rPr>
          <w:sz w:val="24"/>
        </w:rPr>
        <w:instrText xml:space="preserve"> \* MERGEFORMAT </w:instrText>
      </w:r>
      <w:r w:rsidR="006A1766" w:rsidRPr="001C70FC">
        <w:rPr>
          <w:sz w:val="24"/>
        </w:rPr>
      </w:r>
      <w:r w:rsidR="006A1766" w:rsidRPr="001C70FC">
        <w:rPr>
          <w:sz w:val="24"/>
        </w:rPr>
        <w:fldChar w:fldCharType="separate"/>
      </w:r>
      <w:r w:rsidR="004537D3" w:rsidRPr="004537D3">
        <w:t xml:space="preserve">Table </w:t>
      </w:r>
      <w:r w:rsidR="004537D3" w:rsidRPr="004537D3">
        <w:rPr>
          <w:noProof/>
        </w:rPr>
        <w:t>19</w:t>
      </w:r>
      <w:r w:rsidR="006A1766" w:rsidRPr="001C70FC">
        <w:rPr>
          <w:sz w:val="24"/>
        </w:rPr>
        <w:fldChar w:fldCharType="end"/>
      </w:r>
      <w:r w:rsidR="006A1766">
        <w:t xml:space="preserve"> summarizes the projected increase in the percent of renewable electricity supplied by renewable energy for forecast years 2030, 2040 and 2050 and the resulting emissions avoided compared to the BAU scenario. </w:t>
      </w:r>
    </w:p>
    <w:p w14:paraId="0DEE1882" w14:textId="415C7E1C" w:rsidR="00A15B3E" w:rsidRPr="00241AAC" w:rsidRDefault="00A15B3E" w:rsidP="006A1766">
      <w:pPr>
        <w:pStyle w:val="Caption"/>
        <w:rPr>
          <w:sz w:val="20"/>
        </w:rPr>
      </w:pPr>
      <w:bookmarkStart w:id="59" w:name="_Ref472947378"/>
      <w:r w:rsidRPr="00241AAC">
        <w:rPr>
          <w:sz w:val="20"/>
        </w:rPr>
        <w:t xml:space="preserve">Table </w:t>
      </w:r>
      <w:r w:rsidRPr="00241AAC">
        <w:rPr>
          <w:sz w:val="20"/>
        </w:rPr>
        <w:fldChar w:fldCharType="begin"/>
      </w:r>
      <w:r w:rsidRPr="00241AAC">
        <w:rPr>
          <w:sz w:val="20"/>
        </w:rPr>
        <w:instrText xml:space="preserve"> SEQ Table \* ARABIC </w:instrText>
      </w:r>
      <w:r w:rsidRPr="00241AAC">
        <w:rPr>
          <w:sz w:val="20"/>
        </w:rPr>
        <w:fldChar w:fldCharType="separate"/>
      </w:r>
      <w:r w:rsidR="00AD4785">
        <w:rPr>
          <w:noProof/>
          <w:sz w:val="20"/>
        </w:rPr>
        <w:t>19</w:t>
      </w:r>
      <w:r w:rsidRPr="00241AAC">
        <w:rPr>
          <w:sz w:val="20"/>
        </w:rPr>
        <w:fldChar w:fldCharType="end"/>
      </w:r>
      <w:bookmarkEnd w:id="59"/>
      <w:r w:rsidR="006A1766" w:rsidRPr="00241AAC">
        <w:rPr>
          <w:sz w:val="20"/>
        </w:rPr>
        <w:t>: 2030-2050 Increase in Percent of Electricity Sales from Renewables and Emissions Avoided in Cambridge Resulting from RPS</w:t>
      </w:r>
    </w:p>
    <w:tbl>
      <w:tblPr>
        <w:tblStyle w:val="AlternatingRows3"/>
        <w:tblW w:w="0" w:type="auto"/>
        <w:tblLook w:val="04A0" w:firstRow="1" w:lastRow="0" w:firstColumn="1" w:lastColumn="0" w:noHBand="0" w:noVBand="1"/>
      </w:tblPr>
      <w:tblGrid>
        <w:gridCol w:w="762"/>
        <w:gridCol w:w="1220"/>
        <w:gridCol w:w="1220"/>
        <w:gridCol w:w="1395"/>
        <w:gridCol w:w="2562"/>
        <w:gridCol w:w="2191"/>
      </w:tblGrid>
      <w:tr w:rsidR="00A15B3E" w14:paraId="2A5A02E1" w14:textId="05326E7C" w:rsidTr="00571D6B">
        <w:trPr>
          <w:cnfStyle w:val="100000000000" w:firstRow="1" w:lastRow="0" w:firstColumn="0" w:lastColumn="0" w:oddVBand="0" w:evenVBand="0" w:oddHBand="0" w:evenHBand="0" w:firstRowFirstColumn="0" w:firstRowLastColumn="0" w:lastRowFirstColumn="0" w:lastRowLastColumn="0"/>
          <w:trHeight w:val="377"/>
        </w:trPr>
        <w:tc>
          <w:tcPr>
            <w:tcW w:w="762" w:type="dxa"/>
            <w:vMerge w:val="restart"/>
          </w:tcPr>
          <w:p w14:paraId="264B0A84" w14:textId="00746F75" w:rsidR="00A15B3E" w:rsidRPr="00241AAC" w:rsidRDefault="00A15B3E" w:rsidP="006A38D3">
            <w:pPr>
              <w:pStyle w:val="NoSpacing"/>
              <w:rPr>
                <w:b w:val="0"/>
                <w:sz w:val="20"/>
                <w:szCs w:val="20"/>
              </w:rPr>
            </w:pPr>
            <w:r w:rsidRPr="00241AAC">
              <w:rPr>
                <w:b w:val="0"/>
                <w:sz w:val="20"/>
                <w:szCs w:val="20"/>
              </w:rPr>
              <w:t>Year</w:t>
            </w:r>
          </w:p>
        </w:tc>
        <w:tc>
          <w:tcPr>
            <w:tcW w:w="3835" w:type="dxa"/>
            <w:gridSpan w:val="3"/>
          </w:tcPr>
          <w:p w14:paraId="51B15156" w14:textId="178B53B7" w:rsidR="00A15B3E" w:rsidRPr="00241AAC" w:rsidRDefault="00A15B3E" w:rsidP="00A15B3E">
            <w:pPr>
              <w:pStyle w:val="NoSpacing"/>
              <w:rPr>
                <w:b w:val="0"/>
              </w:rPr>
            </w:pPr>
            <w:r w:rsidRPr="00241AAC">
              <w:rPr>
                <w:b w:val="0"/>
              </w:rPr>
              <w:t>Percent of Total Electricity Sold in State from Renewables</w:t>
            </w:r>
          </w:p>
        </w:tc>
        <w:tc>
          <w:tcPr>
            <w:tcW w:w="2562" w:type="dxa"/>
            <w:vMerge w:val="restart"/>
          </w:tcPr>
          <w:p w14:paraId="22C92A46" w14:textId="234CE943" w:rsidR="00A15B3E" w:rsidRPr="00241AAC" w:rsidRDefault="00A15B3E" w:rsidP="00A15B3E">
            <w:pPr>
              <w:pStyle w:val="NoSpacing"/>
              <w:rPr>
                <w:b w:val="0"/>
                <w:sz w:val="20"/>
                <w:szCs w:val="20"/>
              </w:rPr>
            </w:pPr>
            <w:r w:rsidRPr="00241AAC">
              <w:rPr>
                <w:b w:val="0"/>
                <w:sz w:val="20"/>
                <w:szCs w:val="20"/>
              </w:rPr>
              <w:t xml:space="preserve">% Reduction in Electricity Emission Factor from 2012 Baseline </w:t>
            </w:r>
          </w:p>
        </w:tc>
        <w:tc>
          <w:tcPr>
            <w:tcW w:w="2191" w:type="dxa"/>
            <w:vMerge w:val="restart"/>
          </w:tcPr>
          <w:p w14:paraId="7AC53275" w14:textId="4EE00973" w:rsidR="00A15B3E" w:rsidRPr="00241AAC" w:rsidRDefault="00A15B3E" w:rsidP="00A15B3E">
            <w:pPr>
              <w:pStyle w:val="NoSpacing"/>
              <w:rPr>
                <w:b w:val="0"/>
                <w:sz w:val="20"/>
                <w:szCs w:val="20"/>
              </w:rPr>
            </w:pPr>
            <w:r w:rsidRPr="00241AAC">
              <w:rPr>
                <w:b w:val="0"/>
                <w:sz w:val="20"/>
                <w:szCs w:val="20"/>
              </w:rPr>
              <w:t xml:space="preserve">Emissions Avoided </w:t>
            </w:r>
            <w:r w:rsidRPr="00241AAC">
              <w:rPr>
                <w:b w:val="0"/>
                <w:sz w:val="20"/>
                <w:szCs w:val="20"/>
              </w:rPr>
              <w:br/>
              <w:t>(MT CO2e)</w:t>
            </w:r>
          </w:p>
        </w:tc>
      </w:tr>
      <w:tr w:rsidR="00A15B3E" w14:paraId="404EDB98" w14:textId="12569385" w:rsidTr="00571D6B">
        <w:trPr>
          <w:cnfStyle w:val="000000100000" w:firstRow="0" w:lastRow="0" w:firstColumn="0" w:lastColumn="0" w:oddVBand="0" w:evenVBand="0" w:oddHBand="1" w:evenHBand="0" w:firstRowFirstColumn="0" w:firstRowLastColumn="0" w:lastRowFirstColumn="0" w:lastRowLastColumn="0"/>
          <w:trHeight w:val="539"/>
        </w:trPr>
        <w:tc>
          <w:tcPr>
            <w:tcW w:w="762" w:type="dxa"/>
            <w:vMerge/>
          </w:tcPr>
          <w:p w14:paraId="65257A18" w14:textId="77777777" w:rsidR="00A15B3E" w:rsidRPr="00E93C61" w:rsidRDefault="00A15B3E" w:rsidP="006A38D3">
            <w:pPr>
              <w:pStyle w:val="NoSpacing"/>
              <w:jc w:val="center"/>
              <w:rPr>
                <w:color w:val="FFFFFF" w:themeColor="background1"/>
                <w:sz w:val="20"/>
                <w:szCs w:val="20"/>
              </w:rPr>
            </w:pPr>
          </w:p>
        </w:tc>
        <w:tc>
          <w:tcPr>
            <w:tcW w:w="1220" w:type="dxa"/>
            <w:shd w:val="clear" w:color="auto" w:fill="548DD4" w:themeFill="text2" w:themeFillTint="99"/>
          </w:tcPr>
          <w:p w14:paraId="72C8EC88" w14:textId="1330B0EE" w:rsidR="00A15B3E" w:rsidRPr="00E93C61" w:rsidRDefault="00A15B3E" w:rsidP="00E93C61">
            <w:pPr>
              <w:pStyle w:val="NoSpacing"/>
              <w:jc w:val="center"/>
              <w:rPr>
                <w:color w:val="FFFFFF" w:themeColor="background1"/>
                <w:sz w:val="20"/>
                <w:szCs w:val="20"/>
              </w:rPr>
            </w:pPr>
            <w:r>
              <w:rPr>
                <w:color w:val="FFFFFF" w:themeColor="background1"/>
                <w:sz w:val="20"/>
                <w:szCs w:val="20"/>
              </w:rPr>
              <w:t>Class I Renewables</w:t>
            </w:r>
          </w:p>
        </w:tc>
        <w:tc>
          <w:tcPr>
            <w:tcW w:w="1220" w:type="dxa"/>
            <w:shd w:val="clear" w:color="auto" w:fill="548DD4" w:themeFill="text2" w:themeFillTint="99"/>
          </w:tcPr>
          <w:p w14:paraId="212701BD" w14:textId="5F3C9651" w:rsidR="00A15B3E" w:rsidRPr="00E93C61" w:rsidRDefault="00A15B3E" w:rsidP="006A38D3">
            <w:pPr>
              <w:pStyle w:val="NoSpacing"/>
              <w:jc w:val="center"/>
              <w:rPr>
                <w:color w:val="FFFFFF" w:themeColor="background1"/>
                <w:sz w:val="20"/>
                <w:szCs w:val="20"/>
              </w:rPr>
            </w:pPr>
            <w:r w:rsidRPr="00E93C61">
              <w:rPr>
                <w:color w:val="FFFFFF" w:themeColor="background1"/>
                <w:sz w:val="20"/>
                <w:szCs w:val="20"/>
              </w:rPr>
              <w:t>Class II Renewables</w:t>
            </w:r>
          </w:p>
        </w:tc>
        <w:tc>
          <w:tcPr>
            <w:tcW w:w="1395" w:type="dxa"/>
            <w:shd w:val="clear" w:color="auto" w:fill="548DD4" w:themeFill="text2" w:themeFillTint="99"/>
          </w:tcPr>
          <w:p w14:paraId="69C9E9F2" w14:textId="0A156673" w:rsidR="00A15B3E" w:rsidRPr="00E93C61" w:rsidRDefault="00A15B3E" w:rsidP="006A38D3">
            <w:pPr>
              <w:pStyle w:val="NoSpacing"/>
              <w:jc w:val="center"/>
              <w:rPr>
                <w:color w:val="FFFFFF" w:themeColor="background1"/>
                <w:sz w:val="20"/>
                <w:szCs w:val="20"/>
              </w:rPr>
            </w:pPr>
            <w:r w:rsidRPr="00E93C61">
              <w:rPr>
                <w:color w:val="FFFFFF" w:themeColor="background1"/>
                <w:sz w:val="20"/>
                <w:szCs w:val="20"/>
              </w:rPr>
              <w:t>Class I + Class II Renewables</w:t>
            </w:r>
          </w:p>
        </w:tc>
        <w:tc>
          <w:tcPr>
            <w:tcW w:w="2562" w:type="dxa"/>
            <w:vMerge/>
          </w:tcPr>
          <w:p w14:paraId="0220D317" w14:textId="77777777" w:rsidR="00A15B3E" w:rsidRPr="00E93C61" w:rsidRDefault="00A15B3E" w:rsidP="00D81804">
            <w:pPr>
              <w:pStyle w:val="NoSpacing"/>
              <w:jc w:val="center"/>
              <w:rPr>
                <w:color w:val="FFFFFF" w:themeColor="background1"/>
                <w:sz w:val="20"/>
                <w:szCs w:val="20"/>
              </w:rPr>
            </w:pPr>
          </w:p>
        </w:tc>
        <w:tc>
          <w:tcPr>
            <w:tcW w:w="2191" w:type="dxa"/>
            <w:vMerge/>
          </w:tcPr>
          <w:p w14:paraId="1E661B74" w14:textId="5512E81C" w:rsidR="00A15B3E" w:rsidRPr="00E93C61" w:rsidRDefault="00A15B3E" w:rsidP="00D81804">
            <w:pPr>
              <w:pStyle w:val="NoSpacing"/>
              <w:jc w:val="center"/>
              <w:rPr>
                <w:color w:val="FFFFFF" w:themeColor="background1"/>
                <w:sz w:val="20"/>
                <w:szCs w:val="20"/>
              </w:rPr>
            </w:pPr>
          </w:p>
        </w:tc>
      </w:tr>
      <w:tr w:rsidR="00A15B3E" w14:paraId="495CB2AD" w14:textId="1D95020E" w:rsidTr="00571D6B">
        <w:trPr>
          <w:cnfStyle w:val="000000010000" w:firstRow="0" w:lastRow="0" w:firstColumn="0" w:lastColumn="0" w:oddVBand="0" w:evenVBand="0" w:oddHBand="0" w:evenHBand="1" w:firstRowFirstColumn="0" w:firstRowLastColumn="0" w:lastRowFirstColumn="0" w:lastRowLastColumn="0"/>
        </w:trPr>
        <w:tc>
          <w:tcPr>
            <w:tcW w:w="762" w:type="dxa"/>
          </w:tcPr>
          <w:p w14:paraId="5A2D437C" w14:textId="4B45AD05" w:rsidR="00A15B3E" w:rsidRPr="00E93C61" w:rsidRDefault="00A15B3E" w:rsidP="006A38D3">
            <w:pPr>
              <w:pStyle w:val="NoSpacing"/>
              <w:jc w:val="center"/>
              <w:rPr>
                <w:sz w:val="20"/>
                <w:szCs w:val="20"/>
              </w:rPr>
            </w:pPr>
            <w:r w:rsidRPr="00E93C61">
              <w:rPr>
                <w:sz w:val="20"/>
                <w:szCs w:val="20"/>
              </w:rPr>
              <w:t>2012</w:t>
            </w:r>
          </w:p>
        </w:tc>
        <w:tc>
          <w:tcPr>
            <w:tcW w:w="1220" w:type="dxa"/>
          </w:tcPr>
          <w:p w14:paraId="55E87BE2" w14:textId="3842E0F3" w:rsidR="00A15B3E" w:rsidRPr="00E93C61" w:rsidRDefault="00A15B3E" w:rsidP="006A38D3">
            <w:pPr>
              <w:pStyle w:val="NoSpacing"/>
              <w:jc w:val="center"/>
              <w:rPr>
                <w:sz w:val="20"/>
                <w:szCs w:val="20"/>
              </w:rPr>
            </w:pPr>
            <w:r w:rsidRPr="00E93C61">
              <w:rPr>
                <w:sz w:val="20"/>
                <w:szCs w:val="20"/>
              </w:rPr>
              <w:t>7.0%</w:t>
            </w:r>
          </w:p>
        </w:tc>
        <w:tc>
          <w:tcPr>
            <w:tcW w:w="1220" w:type="dxa"/>
          </w:tcPr>
          <w:p w14:paraId="52E57F97" w14:textId="78BCA9A8" w:rsidR="00A15B3E" w:rsidRPr="00E93C61" w:rsidRDefault="00A15B3E" w:rsidP="006A38D3">
            <w:pPr>
              <w:pStyle w:val="NoSpacing"/>
              <w:jc w:val="center"/>
              <w:rPr>
                <w:sz w:val="20"/>
                <w:szCs w:val="20"/>
              </w:rPr>
            </w:pPr>
            <w:r w:rsidRPr="00E93C61">
              <w:rPr>
                <w:sz w:val="20"/>
                <w:szCs w:val="20"/>
              </w:rPr>
              <w:t>7.1%</w:t>
            </w:r>
          </w:p>
        </w:tc>
        <w:tc>
          <w:tcPr>
            <w:tcW w:w="1395" w:type="dxa"/>
          </w:tcPr>
          <w:p w14:paraId="43AAE036" w14:textId="14010253" w:rsidR="00A15B3E" w:rsidRPr="00E93C61" w:rsidRDefault="00A15B3E" w:rsidP="006A38D3">
            <w:pPr>
              <w:pStyle w:val="NoSpacing"/>
              <w:jc w:val="center"/>
              <w:rPr>
                <w:sz w:val="20"/>
                <w:szCs w:val="20"/>
              </w:rPr>
            </w:pPr>
            <w:r w:rsidRPr="00E93C61">
              <w:rPr>
                <w:sz w:val="20"/>
                <w:szCs w:val="20"/>
              </w:rPr>
              <w:t>14.10%</w:t>
            </w:r>
          </w:p>
        </w:tc>
        <w:tc>
          <w:tcPr>
            <w:tcW w:w="2562" w:type="dxa"/>
          </w:tcPr>
          <w:p w14:paraId="0DFABC98" w14:textId="3EC44199" w:rsidR="00A15B3E" w:rsidRPr="00E93C61" w:rsidRDefault="00A15B3E" w:rsidP="006A38D3">
            <w:pPr>
              <w:pStyle w:val="NoSpacing"/>
              <w:jc w:val="center"/>
              <w:rPr>
                <w:sz w:val="20"/>
                <w:szCs w:val="20"/>
              </w:rPr>
            </w:pPr>
            <w:r w:rsidRPr="00E93C61">
              <w:rPr>
                <w:sz w:val="20"/>
                <w:szCs w:val="20"/>
              </w:rPr>
              <w:t>N/A</w:t>
            </w:r>
          </w:p>
        </w:tc>
        <w:tc>
          <w:tcPr>
            <w:tcW w:w="2191" w:type="dxa"/>
          </w:tcPr>
          <w:p w14:paraId="787CA44E" w14:textId="63AD7780" w:rsidR="00A15B3E" w:rsidRPr="00E93C61" w:rsidRDefault="00A15B3E" w:rsidP="006A38D3">
            <w:pPr>
              <w:pStyle w:val="NoSpacing"/>
              <w:jc w:val="center"/>
              <w:rPr>
                <w:sz w:val="20"/>
                <w:szCs w:val="20"/>
              </w:rPr>
            </w:pPr>
            <w:r>
              <w:rPr>
                <w:sz w:val="20"/>
                <w:szCs w:val="20"/>
              </w:rPr>
              <w:t>N/A</w:t>
            </w:r>
          </w:p>
        </w:tc>
      </w:tr>
      <w:tr w:rsidR="00571D6B" w14:paraId="5CBDD898" w14:textId="3FC79CC8" w:rsidTr="00C5272F">
        <w:trPr>
          <w:cnfStyle w:val="000000100000" w:firstRow="0" w:lastRow="0" w:firstColumn="0" w:lastColumn="0" w:oddVBand="0" w:evenVBand="0" w:oddHBand="1" w:evenHBand="0" w:firstRowFirstColumn="0" w:firstRowLastColumn="0" w:lastRowFirstColumn="0" w:lastRowLastColumn="0"/>
        </w:trPr>
        <w:tc>
          <w:tcPr>
            <w:tcW w:w="762" w:type="dxa"/>
          </w:tcPr>
          <w:p w14:paraId="043F6321" w14:textId="4B0B8935" w:rsidR="00571D6B" w:rsidRPr="00E93C61" w:rsidRDefault="00571D6B" w:rsidP="00571D6B">
            <w:pPr>
              <w:pStyle w:val="NoSpacing"/>
              <w:jc w:val="center"/>
              <w:rPr>
                <w:sz w:val="20"/>
                <w:szCs w:val="20"/>
              </w:rPr>
            </w:pPr>
            <w:r w:rsidRPr="00E93C61">
              <w:rPr>
                <w:sz w:val="20"/>
                <w:szCs w:val="20"/>
              </w:rPr>
              <w:t>2030</w:t>
            </w:r>
          </w:p>
        </w:tc>
        <w:tc>
          <w:tcPr>
            <w:tcW w:w="1220" w:type="dxa"/>
          </w:tcPr>
          <w:p w14:paraId="0D5D18DB" w14:textId="4FD82A56" w:rsidR="00571D6B" w:rsidRPr="00E93C61" w:rsidRDefault="00571D6B" w:rsidP="00571D6B">
            <w:pPr>
              <w:pStyle w:val="NoSpacing"/>
              <w:jc w:val="center"/>
              <w:rPr>
                <w:sz w:val="20"/>
                <w:szCs w:val="20"/>
              </w:rPr>
            </w:pPr>
            <w:r w:rsidRPr="00E93C61">
              <w:rPr>
                <w:sz w:val="20"/>
                <w:szCs w:val="20"/>
              </w:rPr>
              <w:t>25.0%</w:t>
            </w:r>
          </w:p>
        </w:tc>
        <w:tc>
          <w:tcPr>
            <w:tcW w:w="1220" w:type="dxa"/>
          </w:tcPr>
          <w:p w14:paraId="478F3A56" w14:textId="32DD0F44" w:rsidR="00571D6B" w:rsidRPr="00E93C61" w:rsidRDefault="00571D6B" w:rsidP="00571D6B">
            <w:pPr>
              <w:pStyle w:val="NoSpacing"/>
              <w:jc w:val="center"/>
              <w:rPr>
                <w:sz w:val="20"/>
                <w:szCs w:val="20"/>
              </w:rPr>
            </w:pPr>
            <w:r w:rsidRPr="00E93C61">
              <w:rPr>
                <w:sz w:val="20"/>
                <w:szCs w:val="20"/>
              </w:rPr>
              <w:t>6.03%</w:t>
            </w:r>
          </w:p>
        </w:tc>
        <w:tc>
          <w:tcPr>
            <w:tcW w:w="1395" w:type="dxa"/>
          </w:tcPr>
          <w:p w14:paraId="76E43D58" w14:textId="05C2E38D" w:rsidR="00571D6B" w:rsidRPr="00E93C61" w:rsidRDefault="00571D6B" w:rsidP="00571D6B">
            <w:pPr>
              <w:pStyle w:val="NoSpacing"/>
              <w:jc w:val="center"/>
              <w:rPr>
                <w:sz w:val="20"/>
                <w:szCs w:val="20"/>
              </w:rPr>
            </w:pPr>
            <w:r w:rsidRPr="00E93C61">
              <w:rPr>
                <w:sz w:val="20"/>
                <w:szCs w:val="20"/>
              </w:rPr>
              <w:t>31.03%</w:t>
            </w:r>
          </w:p>
        </w:tc>
        <w:tc>
          <w:tcPr>
            <w:tcW w:w="2562" w:type="dxa"/>
          </w:tcPr>
          <w:p w14:paraId="16EFDF68" w14:textId="48E2C59F" w:rsidR="00571D6B" w:rsidRPr="00E93C61" w:rsidRDefault="00571D6B" w:rsidP="00571D6B">
            <w:pPr>
              <w:pStyle w:val="NoSpacing"/>
              <w:jc w:val="center"/>
              <w:rPr>
                <w:sz w:val="20"/>
                <w:szCs w:val="20"/>
              </w:rPr>
            </w:pPr>
            <w:r w:rsidRPr="00E93C61">
              <w:rPr>
                <w:sz w:val="20"/>
                <w:szCs w:val="20"/>
              </w:rPr>
              <w:t>19.7%</w:t>
            </w:r>
          </w:p>
        </w:tc>
        <w:tc>
          <w:tcPr>
            <w:tcW w:w="2191" w:type="dxa"/>
          </w:tcPr>
          <w:p w14:paraId="67D681A4" w14:textId="36B6259A" w:rsidR="00571D6B" w:rsidRPr="00E93C61" w:rsidRDefault="00571D6B" w:rsidP="00571D6B">
            <w:pPr>
              <w:pStyle w:val="NoSpacing"/>
              <w:jc w:val="center"/>
              <w:rPr>
                <w:sz w:val="20"/>
                <w:szCs w:val="20"/>
              </w:rPr>
            </w:pPr>
            <w:r>
              <w:rPr>
                <w:sz w:val="20"/>
                <w:szCs w:val="20"/>
              </w:rPr>
              <w:t>108,477</w:t>
            </w:r>
          </w:p>
        </w:tc>
      </w:tr>
      <w:tr w:rsidR="00571D6B" w14:paraId="1D294891" w14:textId="31631499" w:rsidTr="00C5272F">
        <w:trPr>
          <w:cnfStyle w:val="000000010000" w:firstRow="0" w:lastRow="0" w:firstColumn="0" w:lastColumn="0" w:oddVBand="0" w:evenVBand="0" w:oddHBand="0" w:evenHBand="1" w:firstRowFirstColumn="0" w:firstRowLastColumn="0" w:lastRowFirstColumn="0" w:lastRowLastColumn="0"/>
        </w:trPr>
        <w:tc>
          <w:tcPr>
            <w:tcW w:w="762" w:type="dxa"/>
          </w:tcPr>
          <w:p w14:paraId="7A2B39E0" w14:textId="149BA1C7" w:rsidR="00571D6B" w:rsidRPr="00E93C61" w:rsidRDefault="00571D6B" w:rsidP="00571D6B">
            <w:pPr>
              <w:pStyle w:val="NoSpacing"/>
              <w:jc w:val="center"/>
              <w:rPr>
                <w:sz w:val="20"/>
                <w:szCs w:val="20"/>
              </w:rPr>
            </w:pPr>
            <w:r w:rsidRPr="00E93C61">
              <w:rPr>
                <w:sz w:val="20"/>
                <w:szCs w:val="20"/>
              </w:rPr>
              <w:t>2040</w:t>
            </w:r>
          </w:p>
        </w:tc>
        <w:tc>
          <w:tcPr>
            <w:tcW w:w="1220" w:type="dxa"/>
          </w:tcPr>
          <w:p w14:paraId="3CD578C3" w14:textId="32BFADBF" w:rsidR="00571D6B" w:rsidRPr="00E93C61" w:rsidRDefault="00571D6B" w:rsidP="00571D6B">
            <w:pPr>
              <w:pStyle w:val="NoSpacing"/>
              <w:jc w:val="center"/>
              <w:rPr>
                <w:sz w:val="20"/>
                <w:szCs w:val="20"/>
              </w:rPr>
            </w:pPr>
            <w:r w:rsidRPr="00E93C61">
              <w:rPr>
                <w:sz w:val="20"/>
                <w:szCs w:val="20"/>
              </w:rPr>
              <w:t>35.0%</w:t>
            </w:r>
          </w:p>
        </w:tc>
        <w:tc>
          <w:tcPr>
            <w:tcW w:w="1220" w:type="dxa"/>
          </w:tcPr>
          <w:p w14:paraId="6486A9B4" w14:textId="7E794ACE" w:rsidR="00571D6B" w:rsidRPr="00E93C61" w:rsidRDefault="00571D6B" w:rsidP="00571D6B">
            <w:pPr>
              <w:pStyle w:val="NoSpacing"/>
              <w:jc w:val="center"/>
              <w:rPr>
                <w:sz w:val="20"/>
                <w:szCs w:val="20"/>
              </w:rPr>
            </w:pPr>
            <w:r w:rsidRPr="00E93C61">
              <w:rPr>
                <w:sz w:val="20"/>
                <w:szCs w:val="20"/>
              </w:rPr>
              <w:t>6.03%</w:t>
            </w:r>
          </w:p>
        </w:tc>
        <w:tc>
          <w:tcPr>
            <w:tcW w:w="1395" w:type="dxa"/>
          </w:tcPr>
          <w:p w14:paraId="32F10A5F" w14:textId="20A050F2" w:rsidR="00571D6B" w:rsidRPr="00E93C61" w:rsidRDefault="00571D6B" w:rsidP="00571D6B">
            <w:pPr>
              <w:pStyle w:val="NoSpacing"/>
              <w:jc w:val="center"/>
              <w:rPr>
                <w:sz w:val="20"/>
                <w:szCs w:val="20"/>
              </w:rPr>
            </w:pPr>
            <w:r w:rsidRPr="00E93C61">
              <w:rPr>
                <w:sz w:val="20"/>
                <w:szCs w:val="20"/>
              </w:rPr>
              <w:t>41.03%</w:t>
            </w:r>
          </w:p>
        </w:tc>
        <w:tc>
          <w:tcPr>
            <w:tcW w:w="2562" w:type="dxa"/>
          </w:tcPr>
          <w:p w14:paraId="2396815B" w14:textId="714D9890" w:rsidR="00571D6B" w:rsidRPr="00E93C61" w:rsidRDefault="00571D6B" w:rsidP="00571D6B">
            <w:pPr>
              <w:pStyle w:val="NoSpacing"/>
              <w:jc w:val="center"/>
              <w:rPr>
                <w:sz w:val="20"/>
                <w:szCs w:val="20"/>
              </w:rPr>
            </w:pPr>
            <w:r w:rsidRPr="00E93C61">
              <w:rPr>
                <w:sz w:val="20"/>
                <w:szCs w:val="20"/>
              </w:rPr>
              <w:t>31.4%</w:t>
            </w:r>
          </w:p>
        </w:tc>
        <w:tc>
          <w:tcPr>
            <w:tcW w:w="2191" w:type="dxa"/>
          </w:tcPr>
          <w:p w14:paraId="411A02E1" w14:textId="56834DA3" w:rsidR="00571D6B" w:rsidRPr="00E93C61" w:rsidRDefault="00571D6B" w:rsidP="00571D6B">
            <w:pPr>
              <w:pStyle w:val="NoSpacing"/>
              <w:jc w:val="center"/>
              <w:rPr>
                <w:sz w:val="20"/>
                <w:szCs w:val="20"/>
              </w:rPr>
            </w:pPr>
            <w:r>
              <w:rPr>
                <w:sz w:val="20"/>
                <w:szCs w:val="20"/>
              </w:rPr>
              <w:t>179,488</w:t>
            </w:r>
          </w:p>
        </w:tc>
      </w:tr>
      <w:tr w:rsidR="00571D6B" w14:paraId="7BFF513A" w14:textId="76A41D97" w:rsidTr="00C5272F">
        <w:trPr>
          <w:cnfStyle w:val="000000100000" w:firstRow="0" w:lastRow="0" w:firstColumn="0" w:lastColumn="0" w:oddVBand="0" w:evenVBand="0" w:oddHBand="1" w:evenHBand="0" w:firstRowFirstColumn="0" w:firstRowLastColumn="0" w:lastRowFirstColumn="0" w:lastRowLastColumn="0"/>
          <w:trHeight w:val="287"/>
        </w:trPr>
        <w:tc>
          <w:tcPr>
            <w:tcW w:w="762" w:type="dxa"/>
          </w:tcPr>
          <w:p w14:paraId="53D1A4E9" w14:textId="319A1BDF" w:rsidR="00571D6B" w:rsidRPr="00E93C61" w:rsidRDefault="00571D6B" w:rsidP="00571D6B">
            <w:pPr>
              <w:pStyle w:val="NoSpacing"/>
              <w:jc w:val="center"/>
              <w:rPr>
                <w:sz w:val="20"/>
                <w:szCs w:val="20"/>
              </w:rPr>
            </w:pPr>
            <w:r w:rsidRPr="00E93C61">
              <w:rPr>
                <w:sz w:val="20"/>
                <w:szCs w:val="20"/>
              </w:rPr>
              <w:t>2050</w:t>
            </w:r>
          </w:p>
        </w:tc>
        <w:tc>
          <w:tcPr>
            <w:tcW w:w="1220" w:type="dxa"/>
          </w:tcPr>
          <w:p w14:paraId="0786B8F6" w14:textId="76F0114B" w:rsidR="00571D6B" w:rsidRPr="00E93C61" w:rsidRDefault="00571D6B" w:rsidP="00571D6B">
            <w:pPr>
              <w:pStyle w:val="NoSpacing"/>
              <w:jc w:val="center"/>
              <w:rPr>
                <w:sz w:val="20"/>
                <w:szCs w:val="20"/>
              </w:rPr>
            </w:pPr>
            <w:r w:rsidRPr="00E93C61">
              <w:rPr>
                <w:sz w:val="20"/>
                <w:szCs w:val="20"/>
              </w:rPr>
              <w:t>45.0%</w:t>
            </w:r>
          </w:p>
        </w:tc>
        <w:tc>
          <w:tcPr>
            <w:tcW w:w="1220" w:type="dxa"/>
          </w:tcPr>
          <w:p w14:paraId="56725A4E" w14:textId="72D464AD" w:rsidR="00571D6B" w:rsidRPr="00E93C61" w:rsidRDefault="00571D6B" w:rsidP="00571D6B">
            <w:pPr>
              <w:pStyle w:val="NoSpacing"/>
              <w:jc w:val="center"/>
              <w:rPr>
                <w:sz w:val="20"/>
                <w:szCs w:val="20"/>
              </w:rPr>
            </w:pPr>
            <w:r w:rsidRPr="00E93C61">
              <w:rPr>
                <w:sz w:val="20"/>
                <w:szCs w:val="20"/>
              </w:rPr>
              <w:t>6.03%</w:t>
            </w:r>
          </w:p>
        </w:tc>
        <w:tc>
          <w:tcPr>
            <w:tcW w:w="1395" w:type="dxa"/>
          </w:tcPr>
          <w:p w14:paraId="61E99119" w14:textId="414E1AA6" w:rsidR="00571D6B" w:rsidRPr="00E93C61" w:rsidRDefault="00571D6B" w:rsidP="00571D6B">
            <w:pPr>
              <w:pStyle w:val="NoSpacing"/>
              <w:jc w:val="center"/>
              <w:rPr>
                <w:sz w:val="20"/>
                <w:szCs w:val="20"/>
              </w:rPr>
            </w:pPr>
            <w:r w:rsidRPr="00E93C61">
              <w:rPr>
                <w:sz w:val="20"/>
                <w:szCs w:val="20"/>
              </w:rPr>
              <w:t>51.03%</w:t>
            </w:r>
          </w:p>
        </w:tc>
        <w:tc>
          <w:tcPr>
            <w:tcW w:w="2562" w:type="dxa"/>
          </w:tcPr>
          <w:p w14:paraId="2C79C270" w14:textId="6F8C3802" w:rsidR="00571D6B" w:rsidRPr="00E93C61" w:rsidRDefault="00571D6B" w:rsidP="00571D6B">
            <w:pPr>
              <w:pStyle w:val="NoSpacing"/>
              <w:jc w:val="center"/>
              <w:rPr>
                <w:sz w:val="20"/>
                <w:szCs w:val="20"/>
              </w:rPr>
            </w:pPr>
            <w:r w:rsidRPr="00E93C61">
              <w:rPr>
                <w:sz w:val="20"/>
                <w:szCs w:val="20"/>
              </w:rPr>
              <w:t>43.0%</w:t>
            </w:r>
          </w:p>
        </w:tc>
        <w:tc>
          <w:tcPr>
            <w:tcW w:w="2191" w:type="dxa"/>
          </w:tcPr>
          <w:p w14:paraId="11102DCF" w14:textId="0646520A" w:rsidR="00571D6B" w:rsidRPr="00E93C61" w:rsidRDefault="00571D6B" w:rsidP="00571D6B">
            <w:pPr>
              <w:pStyle w:val="NoSpacing"/>
              <w:jc w:val="center"/>
              <w:rPr>
                <w:sz w:val="20"/>
                <w:szCs w:val="20"/>
              </w:rPr>
            </w:pPr>
            <w:r>
              <w:rPr>
                <w:sz w:val="20"/>
                <w:szCs w:val="20"/>
              </w:rPr>
              <w:t>258,459</w:t>
            </w:r>
          </w:p>
        </w:tc>
      </w:tr>
    </w:tbl>
    <w:p w14:paraId="58B65297" w14:textId="1C20BDA1" w:rsidR="00BA0967" w:rsidRDefault="00BA0967" w:rsidP="00867E62">
      <w:pPr>
        <w:pStyle w:val="Heading4"/>
        <w:numPr>
          <w:ilvl w:val="0"/>
          <w:numId w:val="0"/>
        </w:numPr>
        <w:ind w:left="1134" w:hanging="1134"/>
      </w:pPr>
      <w:r>
        <w:lastRenderedPageBreak/>
        <w:t>Business-as-usual Forecast with State Policies</w:t>
      </w:r>
    </w:p>
    <w:p w14:paraId="7E2CEA2D" w14:textId="77777777" w:rsidR="00BA0967" w:rsidRDefault="00BA0967" w:rsidP="00BA0967">
      <w:pPr>
        <w:pStyle w:val="BodyText"/>
      </w:pPr>
    </w:p>
    <w:p w14:paraId="2F1797F1" w14:textId="3457101F" w:rsidR="00BA0967" w:rsidRPr="00BA0967" w:rsidRDefault="00BA0967" w:rsidP="00E33A21">
      <w:pPr>
        <w:pStyle w:val="ParaText"/>
      </w:pPr>
      <w:r>
        <w:fldChar w:fldCharType="begin"/>
      </w:r>
      <w:r>
        <w:instrText xml:space="preserve"> REF _Ref473020282 \h </w:instrText>
      </w:r>
      <w:r w:rsidR="00E33A21">
        <w:instrText xml:space="preserve"> \* MERGEFORMAT </w:instrText>
      </w:r>
      <w:r>
        <w:fldChar w:fldCharType="separate"/>
      </w:r>
      <w:r w:rsidR="009F1CFE" w:rsidRPr="009F1CFE">
        <w:t>Table 20</w:t>
      </w:r>
      <w:r>
        <w:fldChar w:fldCharType="end"/>
      </w:r>
      <w:r w:rsidR="00F45894">
        <w:t xml:space="preserve"> summarizes the projected BAU emissions in Cambridge absent of state policies (top row), emissions reduction impact of state policies (middle rows) and the remaining BAU emissions (bottom row). </w:t>
      </w:r>
    </w:p>
    <w:p w14:paraId="332F287D" w14:textId="0B125673" w:rsidR="00147CBA" w:rsidRPr="00241AAC" w:rsidRDefault="00147CBA" w:rsidP="00147CBA">
      <w:pPr>
        <w:pStyle w:val="Caption"/>
        <w:rPr>
          <w:sz w:val="20"/>
        </w:rPr>
      </w:pPr>
      <w:bookmarkStart w:id="60" w:name="_Ref473020282"/>
      <w:r w:rsidRPr="00241AAC">
        <w:rPr>
          <w:sz w:val="20"/>
        </w:rPr>
        <w:t xml:space="preserve">Table </w:t>
      </w:r>
      <w:r w:rsidRPr="00241AAC">
        <w:rPr>
          <w:sz w:val="20"/>
        </w:rPr>
        <w:fldChar w:fldCharType="begin"/>
      </w:r>
      <w:r w:rsidRPr="00241AAC">
        <w:rPr>
          <w:sz w:val="20"/>
        </w:rPr>
        <w:instrText xml:space="preserve"> SEQ Table \* ARABIC </w:instrText>
      </w:r>
      <w:r w:rsidRPr="00241AAC">
        <w:rPr>
          <w:sz w:val="20"/>
        </w:rPr>
        <w:fldChar w:fldCharType="separate"/>
      </w:r>
      <w:r w:rsidR="00AD4785">
        <w:rPr>
          <w:noProof/>
          <w:sz w:val="20"/>
        </w:rPr>
        <w:t>20</w:t>
      </w:r>
      <w:r w:rsidRPr="00241AAC">
        <w:rPr>
          <w:sz w:val="20"/>
        </w:rPr>
        <w:fldChar w:fldCharType="end"/>
      </w:r>
      <w:bookmarkEnd w:id="60"/>
      <w:r w:rsidRPr="00241AAC">
        <w:rPr>
          <w:sz w:val="20"/>
        </w:rPr>
        <w:t>: 2030-2050 Business-as-usual Emissions Factoring in State Policies</w:t>
      </w:r>
    </w:p>
    <w:tbl>
      <w:tblPr>
        <w:tblStyle w:val="AlternatingRows3"/>
        <w:tblW w:w="0" w:type="auto"/>
        <w:tblLook w:val="04A0" w:firstRow="1" w:lastRow="0" w:firstColumn="1" w:lastColumn="0" w:noHBand="0" w:noVBand="1"/>
      </w:tblPr>
      <w:tblGrid>
        <w:gridCol w:w="5756"/>
        <w:gridCol w:w="1198"/>
        <w:gridCol w:w="1198"/>
        <w:gridCol w:w="1198"/>
      </w:tblGrid>
      <w:tr w:rsidR="00C052CB" w14:paraId="566CD01F" w14:textId="77777777" w:rsidTr="003766DA">
        <w:trPr>
          <w:cnfStyle w:val="100000000000" w:firstRow="1" w:lastRow="0" w:firstColumn="0" w:lastColumn="0" w:oddVBand="0" w:evenVBand="0" w:oddHBand="0" w:evenHBand="0" w:firstRowFirstColumn="0" w:firstRowLastColumn="0" w:lastRowFirstColumn="0" w:lastRowLastColumn="0"/>
        </w:trPr>
        <w:tc>
          <w:tcPr>
            <w:tcW w:w="5756" w:type="dxa"/>
          </w:tcPr>
          <w:p w14:paraId="50CEE5FB" w14:textId="501F522C" w:rsidR="00C052CB" w:rsidRPr="00147CBA" w:rsidRDefault="00147CBA" w:rsidP="00147CBA">
            <w:pPr>
              <w:pStyle w:val="NoSpacing"/>
              <w:rPr>
                <w:sz w:val="20"/>
                <w:szCs w:val="20"/>
              </w:rPr>
            </w:pPr>
            <w:r w:rsidRPr="00147CBA">
              <w:rPr>
                <w:b w:val="0"/>
                <w:bCs/>
                <w:sz w:val="20"/>
                <w:szCs w:val="20"/>
              </w:rPr>
              <w:t>Description</w:t>
            </w:r>
          </w:p>
        </w:tc>
        <w:tc>
          <w:tcPr>
            <w:tcW w:w="1198" w:type="dxa"/>
          </w:tcPr>
          <w:p w14:paraId="2C59B86F" w14:textId="3A7FCDE9" w:rsidR="00C052CB" w:rsidRPr="00147CBA" w:rsidRDefault="00C052CB" w:rsidP="00147CBA">
            <w:pPr>
              <w:pStyle w:val="NoSpacing"/>
              <w:rPr>
                <w:b w:val="0"/>
                <w:bCs/>
                <w:sz w:val="20"/>
                <w:szCs w:val="20"/>
              </w:rPr>
            </w:pPr>
            <w:r w:rsidRPr="00147CBA">
              <w:rPr>
                <w:b w:val="0"/>
                <w:bCs/>
                <w:sz w:val="20"/>
                <w:szCs w:val="20"/>
              </w:rPr>
              <w:t>2030</w:t>
            </w:r>
          </w:p>
        </w:tc>
        <w:tc>
          <w:tcPr>
            <w:tcW w:w="1198" w:type="dxa"/>
          </w:tcPr>
          <w:p w14:paraId="09054388" w14:textId="540B41C1" w:rsidR="00C052CB" w:rsidRPr="00147CBA" w:rsidRDefault="00C052CB" w:rsidP="00147CBA">
            <w:pPr>
              <w:pStyle w:val="NoSpacing"/>
              <w:rPr>
                <w:b w:val="0"/>
                <w:bCs/>
                <w:sz w:val="20"/>
                <w:szCs w:val="20"/>
              </w:rPr>
            </w:pPr>
            <w:r w:rsidRPr="00147CBA">
              <w:rPr>
                <w:b w:val="0"/>
                <w:bCs/>
                <w:sz w:val="20"/>
                <w:szCs w:val="20"/>
              </w:rPr>
              <w:t>2040</w:t>
            </w:r>
          </w:p>
        </w:tc>
        <w:tc>
          <w:tcPr>
            <w:tcW w:w="1198" w:type="dxa"/>
          </w:tcPr>
          <w:p w14:paraId="29FC7DA4" w14:textId="4EE66859" w:rsidR="00C052CB" w:rsidRPr="00147CBA" w:rsidRDefault="00C052CB" w:rsidP="00147CBA">
            <w:pPr>
              <w:pStyle w:val="NoSpacing"/>
              <w:rPr>
                <w:b w:val="0"/>
                <w:bCs/>
                <w:sz w:val="20"/>
                <w:szCs w:val="20"/>
              </w:rPr>
            </w:pPr>
            <w:r w:rsidRPr="00147CBA">
              <w:rPr>
                <w:b w:val="0"/>
                <w:bCs/>
                <w:sz w:val="20"/>
                <w:szCs w:val="20"/>
              </w:rPr>
              <w:t>2050</w:t>
            </w:r>
          </w:p>
        </w:tc>
      </w:tr>
      <w:tr w:rsidR="003766DA" w14:paraId="73C115EB" w14:textId="77777777" w:rsidTr="00C5272F">
        <w:trPr>
          <w:cnfStyle w:val="000000100000" w:firstRow="0" w:lastRow="0" w:firstColumn="0" w:lastColumn="0" w:oddVBand="0" w:evenVBand="0" w:oddHBand="1" w:evenHBand="0" w:firstRowFirstColumn="0" w:firstRowLastColumn="0" w:lastRowFirstColumn="0" w:lastRowLastColumn="0"/>
          <w:trHeight w:val="648"/>
        </w:trPr>
        <w:tc>
          <w:tcPr>
            <w:tcW w:w="5756" w:type="dxa"/>
            <w:tcBorders>
              <w:bottom w:val="single" w:sz="4" w:space="0" w:color="auto"/>
            </w:tcBorders>
          </w:tcPr>
          <w:p w14:paraId="27792368" w14:textId="52C60BB8" w:rsidR="003766DA" w:rsidRPr="00241AAC" w:rsidRDefault="003766DA" w:rsidP="003766DA">
            <w:pPr>
              <w:pStyle w:val="NoSpacing"/>
              <w:jc w:val="center"/>
              <w:rPr>
                <w:bCs/>
                <w:sz w:val="20"/>
                <w:szCs w:val="20"/>
              </w:rPr>
            </w:pPr>
            <w:r w:rsidRPr="0046475A">
              <w:rPr>
                <w:sz w:val="20"/>
                <w:szCs w:val="20"/>
              </w:rPr>
              <w:t>BAU Emissions (MT CO2e)</w:t>
            </w:r>
          </w:p>
        </w:tc>
        <w:tc>
          <w:tcPr>
            <w:tcW w:w="1198" w:type="dxa"/>
            <w:tcBorders>
              <w:bottom w:val="single" w:sz="4" w:space="0" w:color="auto"/>
            </w:tcBorders>
          </w:tcPr>
          <w:p w14:paraId="6D502711" w14:textId="12BC73A1" w:rsidR="003766DA" w:rsidRPr="00147CBA" w:rsidRDefault="003766DA" w:rsidP="003766DA">
            <w:pPr>
              <w:pStyle w:val="NoSpacing"/>
              <w:jc w:val="center"/>
              <w:rPr>
                <w:sz w:val="20"/>
                <w:szCs w:val="20"/>
              </w:rPr>
            </w:pPr>
            <w:r>
              <w:rPr>
                <w:sz w:val="20"/>
                <w:szCs w:val="20"/>
              </w:rPr>
              <w:t>1,677,284</w:t>
            </w:r>
          </w:p>
        </w:tc>
        <w:tc>
          <w:tcPr>
            <w:tcW w:w="1198" w:type="dxa"/>
            <w:tcBorders>
              <w:bottom w:val="single" w:sz="4" w:space="0" w:color="auto"/>
            </w:tcBorders>
          </w:tcPr>
          <w:p w14:paraId="36F7B2A9" w14:textId="62AC9C89" w:rsidR="003766DA" w:rsidRPr="00147CBA" w:rsidRDefault="003766DA" w:rsidP="003766DA">
            <w:pPr>
              <w:pStyle w:val="NoSpacing"/>
              <w:jc w:val="center"/>
              <w:rPr>
                <w:sz w:val="20"/>
                <w:szCs w:val="20"/>
              </w:rPr>
            </w:pPr>
            <w:r>
              <w:rPr>
                <w:sz w:val="20"/>
                <w:szCs w:val="20"/>
              </w:rPr>
              <w:t>1,734,681</w:t>
            </w:r>
          </w:p>
        </w:tc>
        <w:tc>
          <w:tcPr>
            <w:tcW w:w="1198" w:type="dxa"/>
            <w:tcBorders>
              <w:bottom w:val="single" w:sz="4" w:space="0" w:color="auto"/>
            </w:tcBorders>
          </w:tcPr>
          <w:p w14:paraId="578DBE0E" w14:textId="12FE24B1" w:rsidR="003766DA" w:rsidRPr="00147CBA" w:rsidRDefault="003766DA" w:rsidP="003766DA">
            <w:pPr>
              <w:pStyle w:val="NoSpacing"/>
              <w:jc w:val="center"/>
              <w:rPr>
                <w:sz w:val="20"/>
                <w:szCs w:val="20"/>
              </w:rPr>
            </w:pPr>
            <w:r>
              <w:rPr>
                <w:sz w:val="20"/>
                <w:szCs w:val="20"/>
              </w:rPr>
              <w:t>1,809,067</w:t>
            </w:r>
          </w:p>
        </w:tc>
      </w:tr>
      <w:tr w:rsidR="003766DA" w14:paraId="11C9E96A" w14:textId="77777777" w:rsidTr="00C5272F">
        <w:trPr>
          <w:cnfStyle w:val="000000010000" w:firstRow="0" w:lastRow="0" w:firstColumn="0" w:lastColumn="0" w:oddVBand="0" w:evenVBand="0" w:oddHBand="0" w:evenHBand="1" w:firstRowFirstColumn="0" w:firstRowLastColumn="0" w:lastRowFirstColumn="0" w:lastRowLastColumn="0"/>
          <w:trHeight w:val="648"/>
        </w:trPr>
        <w:tc>
          <w:tcPr>
            <w:tcW w:w="5756" w:type="dxa"/>
            <w:tcBorders>
              <w:top w:val="single" w:sz="4" w:space="0" w:color="auto"/>
              <w:bottom w:val="single" w:sz="4" w:space="0" w:color="auto"/>
            </w:tcBorders>
          </w:tcPr>
          <w:p w14:paraId="5172DBB8" w14:textId="3AD24383" w:rsidR="003766DA" w:rsidRPr="00241AAC" w:rsidRDefault="003766DA" w:rsidP="003766DA">
            <w:pPr>
              <w:pStyle w:val="NoSpacing"/>
              <w:jc w:val="center"/>
              <w:rPr>
                <w:bCs/>
                <w:sz w:val="20"/>
                <w:szCs w:val="20"/>
              </w:rPr>
            </w:pPr>
            <w:r w:rsidRPr="0046475A">
              <w:rPr>
                <w:sz w:val="20"/>
                <w:szCs w:val="20"/>
              </w:rPr>
              <w:t>Emissions Reduction from Vehicle Efficiency Standards + EV Market Growth (MT CO2e)</w:t>
            </w:r>
          </w:p>
        </w:tc>
        <w:tc>
          <w:tcPr>
            <w:tcW w:w="1198" w:type="dxa"/>
            <w:tcBorders>
              <w:top w:val="single" w:sz="4" w:space="0" w:color="auto"/>
              <w:bottom w:val="single" w:sz="4" w:space="0" w:color="auto"/>
            </w:tcBorders>
          </w:tcPr>
          <w:p w14:paraId="3E640BB8" w14:textId="2F29DE1A" w:rsidR="003766DA" w:rsidRPr="00147CBA" w:rsidRDefault="003766DA" w:rsidP="003766DA">
            <w:pPr>
              <w:pStyle w:val="NoSpacing"/>
              <w:jc w:val="center"/>
              <w:rPr>
                <w:sz w:val="20"/>
                <w:szCs w:val="20"/>
              </w:rPr>
            </w:pPr>
            <w:r>
              <w:rPr>
                <w:sz w:val="20"/>
                <w:szCs w:val="20"/>
              </w:rPr>
              <w:t>-68,742</w:t>
            </w:r>
          </w:p>
        </w:tc>
        <w:tc>
          <w:tcPr>
            <w:tcW w:w="1198" w:type="dxa"/>
            <w:tcBorders>
              <w:top w:val="single" w:sz="4" w:space="0" w:color="auto"/>
              <w:bottom w:val="single" w:sz="4" w:space="0" w:color="auto"/>
            </w:tcBorders>
          </w:tcPr>
          <w:p w14:paraId="1F225E93" w14:textId="7B9D9D9B" w:rsidR="003766DA" w:rsidRPr="00147CBA" w:rsidRDefault="003766DA" w:rsidP="003766DA">
            <w:pPr>
              <w:pStyle w:val="NoSpacing"/>
              <w:jc w:val="center"/>
              <w:rPr>
                <w:sz w:val="20"/>
                <w:szCs w:val="20"/>
              </w:rPr>
            </w:pPr>
            <w:r>
              <w:rPr>
                <w:sz w:val="20"/>
                <w:szCs w:val="20"/>
              </w:rPr>
              <w:t>-83,700</w:t>
            </w:r>
          </w:p>
        </w:tc>
        <w:tc>
          <w:tcPr>
            <w:tcW w:w="1198" w:type="dxa"/>
            <w:tcBorders>
              <w:top w:val="single" w:sz="4" w:space="0" w:color="auto"/>
              <w:bottom w:val="single" w:sz="4" w:space="0" w:color="auto"/>
            </w:tcBorders>
          </w:tcPr>
          <w:p w14:paraId="0492E0E2" w14:textId="67DC3B55" w:rsidR="003766DA" w:rsidRPr="00147CBA" w:rsidRDefault="003766DA" w:rsidP="003766DA">
            <w:pPr>
              <w:pStyle w:val="NoSpacing"/>
              <w:jc w:val="center"/>
              <w:rPr>
                <w:sz w:val="20"/>
                <w:szCs w:val="20"/>
              </w:rPr>
            </w:pPr>
            <w:r>
              <w:rPr>
                <w:sz w:val="20"/>
                <w:szCs w:val="20"/>
              </w:rPr>
              <w:t>-90,896</w:t>
            </w:r>
          </w:p>
        </w:tc>
      </w:tr>
      <w:tr w:rsidR="003766DA" w14:paraId="15C6CE39" w14:textId="77777777" w:rsidTr="00C5272F">
        <w:trPr>
          <w:cnfStyle w:val="000000100000" w:firstRow="0" w:lastRow="0" w:firstColumn="0" w:lastColumn="0" w:oddVBand="0" w:evenVBand="0" w:oddHBand="1" w:evenHBand="0" w:firstRowFirstColumn="0" w:firstRowLastColumn="0" w:lastRowFirstColumn="0" w:lastRowLastColumn="0"/>
          <w:trHeight w:val="648"/>
        </w:trPr>
        <w:tc>
          <w:tcPr>
            <w:tcW w:w="5756" w:type="dxa"/>
            <w:tcBorders>
              <w:top w:val="single" w:sz="4" w:space="0" w:color="auto"/>
            </w:tcBorders>
          </w:tcPr>
          <w:p w14:paraId="0A0C3A8A" w14:textId="06DD20EC" w:rsidR="003766DA" w:rsidRPr="00241AAC" w:rsidRDefault="003766DA" w:rsidP="003766DA">
            <w:pPr>
              <w:pStyle w:val="NoSpacing"/>
              <w:jc w:val="center"/>
              <w:rPr>
                <w:bCs/>
                <w:sz w:val="20"/>
                <w:szCs w:val="20"/>
              </w:rPr>
            </w:pPr>
            <w:r w:rsidRPr="0046475A">
              <w:rPr>
                <w:sz w:val="20"/>
                <w:szCs w:val="20"/>
              </w:rPr>
              <w:t>Emissions Reduction from RPS (MT CO2e)</w:t>
            </w:r>
          </w:p>
        </w:tc>
        <w:tc>
          <w:tcPr>
            <w:tcW w:w="1198" w:type="dxa"/>
            <w:tcBorders>
              <w:top w:val="single" w:sz="4" w:space="0" w:color="auto"/>
            </w:tcBorders>
          </w:tcPr>
          <w:p w14:paraId="122E67FF" w14:textId="20B708A8" w:rsidR="003766DA" w:rsidRPr="00147CBA" w:rsidRDefault="003766DA" w:rsidP="003766DA">
            <w:pPr>
              <w:pStyle w:val="NoSpacing"/>
              <w:jc w:val="center"/>
              <w:rPr>
                <w:sz w:val="20"/>
                <w:szCs w:val="20"/>
              </w:rPr>
            </w:pPr>
            <w:r>
              <w:rPr>
                <w:sz w:val="20"/>
                <w:szCs w:val="20"/>
              </w:rPr>
              <w:t>-108,477</w:t>
            </w:r>
          </w:p>
        </w:tc>
        <w:tc>
          <w:tcPr>
            <w:tcW w:w="1198" w:type="dxa"/>
            <w:tcBorders>
              <w:top w:val="single" w:sz="4" w:space="0" w:color="auto"/>
            </w:tcBorders>
          </w:tcPr>
          <w:p w14:paraId="19586D64" w14:textId="612464DC" w:rsidR="003766DA" w:rsidRPr="00147CBA" w:rsidRDefault="003766DA" w:rsidP="003766DA">
            <w:pPr>
              <w:pStyle w:val="NoSpacing"/>
              <w:jc w:val="center"/>
              <w:rPr>
                <w:sz w:val="20"/>
                <w:szCs w:val="20"/>
              </w:rPr>
            </w:pPr>
            <w:r>
              <w:rPr>
                <w:sz w:val="20"/>
                <w:szCs w:val="20"/>
              </w:rPr>
              <w:t>-179,488</w:t>
            </w:r>
          </w:p>
        </w:tc>
        <w:tc>
          <w:tcPr>
            <w:tcW w:w="1198" w:type="dxa"/>
            <w:tcBorders>
              <w:top w:val="single" w:sz="4" w:space="0" w:color="auto"/>
            </w:tcBorders>
          </w:tcPr>
          <w:p w14:paraId="7069614E" w14:textId="0B128F49" w:rsidR="003766DA" w:rsidRPr="00147CBA" w:rsidRDefault="003766DA" w:rsidP="003766DA">
            <w:pPr>
              <w:pStyle w:val="NoSpacing"/>
              <w:jc w:val="center"/>
              <w:rPr>
                <w:sz w:val="20"/>
                <w:szCs w:val="20"/>
              </w:rPr>
            </w:pPr>
            <w:r>
              <w:rPr>
                <w:sz w:val="20"/>
                <w:szCs w:val="20"/>
              </w:rPr>
              <w:t>-258,459</w:t>
            </w:r>
          </w:p>
        </w:tc>
      </w:tr>
      <w:tr w:rsidR="003766DA" w14:paraId="41DF8DF7" w14:textId="77777777" w:rsidTr="00C5272F">
        <w:trPr>
          <w:cnfStyle w:val="000000010000" w:firstRow="0" w:lastRow="0" w:firstColumn="0" w:lastColumn="0" w:oddVBand="0" w:evenVBand="0" w:oddHBand="0" w:evenHBand="1" w:firstRowFirstColumn="0" w:firstRowLastColumn="0" w:lastRowFirstColumn="0" w:lastRowLastColumn="0"/>
          <w:trHeight w:val="648"/>
        </w:trPr>
        <w:tc>
          <w:tcPr>
            <w:tcW w:w="5756" w:type="dxa"/>
          </w:tcPr>
          <w:p w14:paraId="242BCADA" w14:textId="0C9075C2" w:rsidR="003766DA" w:rsidRPr="00241AAC" w:rsidRDefault="003766DA" w:rsidP="003766DA">
            <w:pPr>
              <w:pStyle w:val="NoSpacing"/>
              <w:jc w:val="center"/>
              <w:rPr>
                <w:bCs/>
                <w:sz w:val="20"/>
                <w:szCs w:val="20"/>
              </w:rPr>
            </w:pPr>
            <w:r w:rsidRPr="0046475A">
              <w:rPr>
                <w:sz w:val="20"/>
                <w:szCs w:val="20"/>
              </w:rPr>
              <w:t xml:space="preserve">Remaining BAU </w:t>
            </w:r>
            <w:proofErr w:type="gramStart"/>
            <w:r w:rsidRPr="0046475A">
              <w:rPr>
                <w:sz w:val="20"/>
                <w:szCs w:val="20"/>
              </w:rPr>
              <w:t>Emissions  w</w:t>
            </w:r>
            <w:proofErr w:type="gramEnd"/>
            <w:r w:rsidRPr="0046475A">
              <w:rPr>
                <w:sz w:val="20"/>
                <w:szCs w:val="20"/>
              </w:rPr>
              <w:t>/ State Policies (MT CO2e)</w:t>
            </w:r>
          </w:p>
        </w:tc>
        <w:tc>
          <w:tcPr>
            <w:tcW w:w="1198" w:type="dxa"/>
          </w:tcPr>
          <w:p w14:paraId="3F11C637" w14:textId="1D025019" w:rsidR="003766DA" w:rsidRPr="00147CBA" w:rsidRDefault="003766DA" w:rsidP="003766DA">
            <w:pPr>
              <w:pStyle w:val="NoSpacing"/>
              <w:jc w:val="center"/>
              <w:rPr>
                <w:sz w:val="20"/>
                <w:szCs w:val="20"/>
              </w:rPr>
            </w:pPr>
            <w:r>
              <w:rPr>
                <w:sz w:val="20"/>
                <w:szCs w:val="20"/>
              </w:rPr>
              <w:t>1,500,065</w:t>
            </w:r>
          </w:p>
        </w:tc>
        <w:tc>
          <w:tcPr>
            <w:tcW w:w="1198" w:type="dxa"/>
          </w:tcPr>
          <w:p w14:paraId="27EE0E97" w14:textId="7CC78088" w:rsidR="003766DA" w:rsidRPr="00147CBA" w:rsidRDefault="003766DA" w:rsidP="003766DA">
            <w:pPr>
              <w:pStyle w:val="NoSpacing"/>
              <w:jc w:val="center"/>
              <w:rPr>
                <w:sz w:val="20"/>
                <w:szCs w:val="20"/>
              </w:rPr>
            </w:pPr>
            <w:r>
              <w:rPr>
                <w:sz w:val="20"/>
                <w:szCs w:val="20"/>
              </w:rPr>
              <w:t>1,471,493</w:t>
            </w:r>
          </w:p>
        </w:tc>
        <w:tc>
          <w:tcPr>
            <w:tcW w:w="1198" w:type="dxa"/>
          </w:tcPr>
          <w:p w14:paraId="72B26BD4" w14:textId="0C9ADD1E" w:rsidR="003766DA" w:rsidRPr="00147CBA" w:rsidRDefault="003766DA" w:rsidP="003766DA">
            <w:pPr>
              <w:pStyle w:val="NoSpacing"/>
              <w:jc w:val="center"/>
              <w:rPr>
                <w:sz w:val="20"/>
                <w:szCs w:val="20"/>
              </w:rPr>
            </w:pPr>
            <w:r>
              <w:rPr>
                <w:sz w:val="20"/>
                <w:szCs w:val="20"/>
              </w:rPr>
              <w:t>1,459,712</w:t>
            </w:r>
          </w:p>
        </w:tc>
      </w:tr>
    </w:tbl>
    <w:p w14:paraId="482C4CE7" w14:textId="2A3D76B2" w:rsidR="00F45894" w:rsidRDefault="00F45894" w:rsidP="00F45894">
      <w:pPr>
        <w:pStyle w:val="ParaText"/>
      </w:pPr>
    </w:p>
    <w:p w14:paraId="76DC03E4" w14:textId="77777777" w:rsidR="00876F15" w:rsidRDefault="00F45894" w:rsidP="00876F15">
      <w:pPr>
        <w:pStyle w:val="ParaText"/>
      </w:pPr>
      <w:r w:rsidRPr="009F1CFE">
        <w:rPr>
          <w:sz w:val="24"/>
        </w:rPr>
        <w:fldChar w:fldCharType="begin"/>
      </w:r>
      <w:r w:rsidRPr="009F1CFE">
        <w:rPr>
          <w:sz w:val="24"/>
        </w:rPr>
        <w:instrText xml:space="preserve"> REF _Ref473020991 \h </w:instrText>
      </w:r>
      <w:r w:rsidR="009F1CFE">
        <w:rPr>
          <w:sz w:val="24"/>
        </w:rPr>
        <w:instrText xml:space="preserve"> \* MERGEFORMAT </w:instrText>
      </w:r>
      <w:r w:rsidRPr="009F1CFE">
        <w:rPr>
          <w:sz w:val="24"/>
        </w:rPr>
      </w:r>
      <w:r w:rsidRPr="009F1CFE">
        <w:rPr>
          <w:sz w:val="24"/>
        </w:rPr>
        <w:fldChar w:fldCharType="separate"/>
      </w:r>
      <w:r w:rsidR="00631613" w:rsidRPr="009F1CFE">
        <w:t xml:space="preserve">Figure </w:t>
      </w:r>
      <w:r w:rsidR="00631613" w:rsidRPr="009F1CFE">
        <w:rPr>
          <w:noProof/>
        </w:rPr>
        <w:t>3</w:t>
      </w:r>
      <w:r w:rsidRPr="009F1CFE">
        <w:rPr>
          <w:sz w:val="24"/>
        </w:rPr>
        <w:fldChar w:fldCharType="end"/>
      </w:r>
      <w:r>
        <w:t xml:space="preserve"> provides a </w:t>
      </w:r>
      <w:r w:rsidR="003766DA">
        <w:t>visualization of the City’s BAU emissions with and without State policies.</w:t>
      </w:r>
      <w:bookmarkStart w:id="61" w:name="_Ref473020991"/>
      <w:bookmarkStart w:id="62" w:name="_Ref473020987"/>
    </w:p>
    <w:p w14:paraId="1159C432" w14:textId="3088456C" w:rsidR="00BA0967" w:rsidRPr="00876F15" w:rsidRDefault="00BA0967" w:rsidP="00876F15">
      <w:pPr>
        <w:pStyle w:val="Caption"/>
        <w:rPr>
          <w:sz w:val="20"/>
        </w:rPr>
      </w:pPr>
      <w:r w:rsidRPr="00876F15">
        <w:rPr>
          <w:sz w:val="20"/>
        </w:rPr>
        <w:lastRenderedPageBreak/>
        <w:t xml:space="preserve">Figure </w:t>
      </w:r>
      <w:r w:rsidRPr="00876F15">
        <w:rPr>
          <w:sz w:val="20"/>
        </w:rPr>
        <w:fldChar w:fldCharType="begin"/>
      </w:r>
      <w:r w:rsidRPr="00876F15">
        <w:rPr>
          <w:sz w:val="20"/>
        </w:rPr>
        <w:instrText xml:space="preserve"> SEQ Figure \* ARABIC </w:instrText>
      </w:r>
      <w:r w:rsidRPr="00876F15">
        <w:rPr>
          <w:sz w:val="20"/>
        </w:rPr>
        <w:fldChar w:fldCharType="separate"/>
      </w:r>
      <w:r w:rsidR="00631613" w:rsidRPr="00876F15">
        <w:rPr>
          <w:sz w:val="20"/>
        </w:rPr>
        <w:t>3</w:t>
      </w:r>
      <w:r w:rsidRPr="00876F15">
        <w:rPr>
          <w:sz w:val="20"/>
        </w:rPr>
        <w:fldChar w:fldCharType="end"/>
      </w:r>
      <w:bookmarkEnd w:id="61"/>
      <w:r w:rsidRPr="00876F15">
        <w:rPr>
          <w:sz w:val="20"/>
        </w:rPr>
        <w:t xml:space="preserve">: </w:t>
      </w:r>
      <w:r w:rsidR="003766DA" w:rsidRPr="003766DA">
        <w:rPr>
          <w:sz w:val="20"/>
        </w:rPr>
        <w:t xml:space="preserve">Forecasted Emissions for BAU and State Measures Only Scenarios </w:t>
      </w:r>
      <w:r w:rsidRPr="00876F15">
        <w:rPr>
          <w:sz w:val="20"/>
        </w:rPr>
        <w:t>for 2030, 2040 &amp; 2050</w:t>
      </w:r>
      <w:bookmarkEnd w:id="62"/>
    </w:p>
    <w:p w14:paraId="148ACC12" w14:textId="7AF2DBCE" w:rsidR="00BA0967" w:rsidRDefault="003766DA" w:rsidP="00BA0967">
      <w:pPr>
        <w:pStyle w:val="Caption"/>
      </w:pPr>
      <w:r>
        <w:rPr>
          <w:noProof/>
          <w:lang w:eastAsia="en-US"/>
        </w:rPr>
        <w:drawing>
          <wp:inline distT="0" distB="0" distL="0" distR="0" wp14:anchorId="51E7596F" wp14:editId="503E2AC4">
            <wp:extent cx="5943600" cy="3721693"/>
            <wp:effectExtent l="0" t="0" r="0" b="0"/>
            <wp:docPr id="7" name="Chart 7">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1D2FEE" w14:textId="39E81B8E" w:rsidR="008623A5" w:rsidRDefault="00463591" w:rsidP="00180C0D">
      <w:pPr>
        <w:pStyle w:val="ParaText"/>
      </w:pPr>
      <w:r>
        <w:t xml:space="preserve">Once the City has established emission reduction targets, </w:t>
      </w:r>
      <w:r w:rsidR="004A3076">
        <w:t xml:space="preserve">any emissions </w:t>
      </w:r>
      <w:r w:rsidR="00CD3629">
        <w:t xml:space="preserve">remaining after the </w:t>
      </w:r>
      <w:r>
        <w:t xml:space="preserve">BAU emissions </w:t>
      </w:r>
      <w:r w:rsidR="00CD3629">
        <w:t xml:space="preserve">and </w:t>
      </w:r>
      <w:r>
        <w:t xml:space="preserve">State policies </w:t>
      </w:r>
      <w:r w:rsidR="00CD3629">
        <w:t xml:space="preserve">are accounted for, </w:t>
      </w:r>
      <w:r>
        <w:t>will be the projections to focus on</w:t>
      </w:r>
      <w:r w:rsidR="00CD3629">
        <w:t xml:space="preserve"> (i.e. what other actions can the city take to further reduce emissions beyond these projections?)</w:t>
      </w:r>
      <w:r>
        <w:t xml:space="preserve">. </w:t>
      </w:r>
      <w:r w:rsidR="004A3076">
        <w:t>There are other State policies that exist that will affect emissions reductions in the future</w:t>
      </w:r>
      <w:r w:rsidR="00CD3629">
        <w:t>. These may further decrease the gap between existing actions and the city’s goals, but</w:t>
      </w:r>
      <w:r w:rsidR="004A3076">
        <w:t xml:space="preserve"> </w:t>
      </w:r>
      <w:r w:rsidR="00876F15">
        <w:t xml:space="preserve">for this forecast </w:t>
      </w:r>
      <w:r w:rsidR="00CD3629">
        <w:t xml:space="preserve">we </w:t>
      </w:r>
      <w:r w:rsidR="00876F15">
        <w:t xml:space="preserve">could </w:t>
      </w:r>
      <w:r w:rsidR="00CD3629">
        <w:t xml:space="preserve">only </w:t>
      </w:r>
      <w:r w:rsidR="00876F15">
        <w:t>ac</w:t>
      </w:r>
      <w:r w:rsidR="00CD3629">
        <w:t>count</w:t>
      </w:r>
      <w:r w:rsidR="00876F15">
        <w:t xml:space="preserve"> for</w:t>
      </w:r>
      <w:r w:rsidR="00CD3629">
        <w:t xml:space="preserve"> those State policies whose impacts were readily </w:t>
      </w:r>
      <w:r w:rsidR="004A3076">
        <w:t>quantif</w:t>
      </w:r>
      <w:r w:rsidR="00CD3629">
        <w:t>iable</w:t>
      </w:r>
      <w:r w:rsidR="004A3076">
        <w:t xml:space="preserve">. </w:t>
      </w:r>
    </w:p>
    <w:p w14:paraId="7FD31708" w14:textId="77777777" w:rsidR="003766DA" w:rsidRPr="00A73F40" w:rsidRDefault="003766DA" w:rsidP="003766DA">
      <w:pPr>
        <w:pStyle w:val="Heading3"/>
      </w:pPr>
      <w:r>
        <w:t>Incorporating the Impact of City Policies into the Business-as-usual Forecast</w:t>
      </w:r>
    </w:p>
    <w:p w14:paraId="602794ED" w14:textId="77777777" w:rsidR="003766DA" w:rsidRDefault="003766DA" w:rsidP="003766DA">
      <w:pPr>
        <w:pStyle w:val="ParaText"/>
      </w:pPr>
    </w:p>
    <w:p w14:paraId="69892E39" w14:textId="5DE0A5D4" w:rsidR="003766DA" w:rsidRDefault="003766DA" w:rsidP="003766DA">
      <w:pPr>
        <w:pStyle w:val="ParaText"/>
      </w:pPr>
      <w:r>
        <w:t xml:space="preserve">In addition to State policies, it is important to consider the impact of Cambridge policies in driving future emissions reductions. </w:t>
      </w:r>
      <w:r w:rsidRPr="003766DA">
        <w:rPr>
          <w:sz w:val="24"/>
        </w:rPr>
        <w:fldChar w:fldCharType="begin"/>
      </w:r>
      <w:r w:rsidRPr="003766DA">
        <w:rPr>
          <w:sz w:val="24"/>
        </w:rPr>
        <w:instrText xml:space="preserve"> REF _Ref477767952 \h </w:instrText>
      </w:r>
      <w:r>
        <w:rPr>
          <w:sz w:val="24"/>
        </w:rPr>
        <w:instrText xml:space="preserve"> \* MERGEFORMAT </w:instrText>
      </w:r>
      <w:r w:rsidRPr="003766DA">
        <w:rPr>
          <w:sz w:val="24"/>
        </w:rPr>
      </w:r>
      <w:r w:rsidRPr="003766DA">
        <w:rPr>
          <w:sz w:val="24"/>
        </w:rPr>
        <w:fldChar w:fldCharType="separate"/>
      </w:r>
      <w:r w:rsidR="00CD3629" w:rsidRPr="00CD3629">
        <w:t xml:space="preserve">Table </w:t>
      </w:r>
      <w:r w:rsidR="00CD3629" w:rsidRPr="00CD3629">
        <w:rPr>
          <w:noProof/>
        </w:rPr>
        <w:t>21</w:t>
      </w:r>
      <w:r w:rsidRPr="003766DA">
        <w:rPr>
          <w:sz w:val="24"/>
        </w:rPr>
        <w:fldChar w:fldCharType="end"/>
      </w:r>
      <w:r>
        <w:t xml:space="preserve"> provides a listing of the city policies and initiatives </w:t>
      </w:r>
      <w:proofErr w:type="gramStart"/>
      <w:r>
        <w:t>taken into account</w:t>
      </w:r>
      <w:proofErr w:type="gramEnd"/>
      <w:r>
        <w:t xml:space="preserve"> in the forecast of the impact of city policies on emissions. </w:t>
      </w:r>
    </w:p>
    <w:p w14:paraId="00C10D89" w14:textId="77777777" w:rsidR="00CD3629" w:rsidRDefault="00CD3629">
      <w:pPr>
        <w:spacing w:after="200" w:line="276" w:lineRule="auto"/>
        <w:rPr>
          <w:rFonts w:ascii="Arial" w:hAnsi="Arial" w:cs="Arial"/>
          <w:b/>
          <w:bCs/>
          <w:sz w:val="20"/>
          <w:szCs w:val="24"/>
          <w:lang w:val="en-US"/>
        </w:rPr>
      </w:pPr>
      <w:bookmarkStart w:id="63" w:name="_Ref477767952"/>
      <w:r>
        <w:rPr>
          <w:sz w:val="20"/>
        </w:rPr>
        <w:br w:type="page"/>
      </w:r>
    </w:p>
    <w:p w14:paraId="4EBF30A6" w14:textId="0E4699C0" w:rsidR="003766DA" w:rsidRPr="003766DA" w:rsidRDefault="003766DA" w:rsidP="003766DA">
      <w:pPr>
        <w:pStyle w:val="Caption"/>
        <w:rPr>
          <w:sz w:val="20"/>
        </w:rPr>
      </w:pPr>
      <w:r w:rsidRPr="003766DA">
        <w:rPr>
          <w:sz w:val="20"/>
        </w:rPr>
        <w:lastRenderedPageBreak/>
        <w:t xml:space="preserve">Table </w:t>
      </w:r>
      <w:r w:rsidRPr="003766DA">
        <w:rPr>
          <w:sz w:val="20"/>
        </w:rPr>
        <w:fldChar w:fldCharType="begin"/>
      </w:r>
      <w:r w:rsidRPr="003766DA">
        <w:rPr>
          <w:sz w:val="20"/>
        </w:rPr>
        <w:instrText xml:space="preserve"> SEQ Table \* ARABIC </w:instrText>
      </w:r>
      <w:r w:rsidRPr="003766DA">
        <w:rPr>
          <w:sz w:val="20"/>
        </w:rPr>
        <w:fldChar w:fldCharType="separate"/>
      </w:r>
      <w:r w:rsidR="00AD4785">
        <w:rPr>
          <w:noProof/>
          <w:sz w:val="20"/>
        </w:rPr>
        <w:t>21</w:t>
      </w:r>
      <w:r w:rsidRPr="003766DA">
        <w:rPr>
          <w:sz w:val="20"/>
        </w:rPr>
        <w:fldChar w:fldCharType="end"/>
      </w:r>
      <w:bookmarkEnd w:id="63"/>
      <w:r w:rsidRPr="003766DA">
        <w:rPr>
          <w:sz w:val="20"/>
        </w:rPr>
        <w:t>: List and Description of City Measures Quantified</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6048"/>
      </w:tblGrid>
      <w:tr w:rsidR="003766DA" w:rsidRPr="001F5582" w14:paraId="28DF7CDA" w14:textId="77777777" w:rsidTr="00AF1FD4">
        <w:trPr>
          <w:trHeight w:val="711"/>
          <w:jc w:val="center"/>
        </w:trPr>
        <w:tc>
          <w:tcPr>
            <w:tcW w:w="352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7BA3862" w14:textId="77777777" w:rsidR="003766DA" w:rsidRPr="001F5582"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City Measure</w:t>
            </w:r>
          </w:p>
        </w:tc>
        <w:tc>
          <w:tcPr>
            <w:tcW w:w="604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E11C68A"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Description of Measure</w:t>
            </w:r>
          </w:p>
          <w:p w14:paraId="6AFA8C26" w14:textId="77777777" w:rsidR="003766DA" w:rsidRPr="001F5582" w:rsidRDefault="003766DA" w:rsidP="00AF1FD4">
            <w:pPr>
              <w:pStyle w:val="NoSpacing"/>
              <w:jc w:val="center"/>
              <w:rPr>
                <w:rFonts w:cstheme="majorBidi"/>
                <w:b/>
                <w:bCs/>
                <w:color w:val="FFFFFF" w:themeColor="background1"/>
                <w:sz w:val="20"/>
                <w:szCs w:val="20"/>
              </w:rPr>
            </w:pPr>
          </w:p>
        </w:tc>
      </w:tr>
      <w:tr w:rsidR="003766DA" w:rsidRPr="001F5582" w14:paraId="566BA6FC" w14:textId="77777777" w:rsidTr="00AF1FD4">
        <w:trPr>
          <w:trHeight w:val="770"/>
          <w:jc w:val="center"/>
        </w:trPr>
        <w:tc>
          <w:tcPr>
            <w:tcW w:w="3528" w:type="dxa"/>
            <w:tcBorders>
              <w:top w:val="single" w:sz="4" w:space="0" w:color="auto"/>
              <w:left w:val="single" w:sz="4" w:space="0" w:color="auto"/>
              <w:bottom w:val="single" w:sz="4" w:space="0" w:color="auto"/>
              <w:right w:val="single" w:sz="4" w:space="0" w:color="auto"/>
            </w:tcBorders>
            <w:vAlign w:val="center"/>
          </w:tcPr>
          <w:p w14:paraId="20C5722B" w14:textId="38D31DC9" w:rsidR="003766DA" w:rsidRPr="001F5582" w:rsidRDefault="003766DA" w:rsidP="00AF1FD4">
            <w:pPr>
              <w:pStyle w:val="NoSpacing"/>
              <w:jc w:val="center"/>
              <w:rPr>
                <w:rFonts w:cstheme="majorBidi"/>
                <w:sz w:val="20"/>
                <w:szCs w:val="20"/>
              </w:rPr>
            </w:pPr>
            <w:r w:rsidRPr="005E6903">
              <w:rPr>
                <w:rFonts w:cstheme="majorBidi"/>
                <w:sz w:val="20"/>
                <w:szCs w:val="20"/>
              </w:rPr>
              <w:t>1. Reduction in Municipal Operations Emission</w:t>
            </w:r>
            <w:r>
              <w:rPr>
                <w:rFonts w:cstheme="majorBidi"/>
                <w:sz w:val="20"/>
                <w:szCs w:val="20"/>
              </w:rPr>
              <w:t>s</w:t>
            </w:r>
          </w:p>
        </w:tc>
        <w:tc>
          <w:tcPr>
            <w:tcW w:w="6048" w:type="dxa"/>
            <w:tcBorders>
              <w:top w:val="single" w:sz="4" w:space="0" w:color="auto"/>
              <w:left w:val="single" w:sz="4" w:space="0" w:color="auto"/>
              <w:bottom w:val="single" w:sz="4" w:space="0" w:color="auto"/>
              <w:right w:val="single" w:sz="4" w:space="0" w:color="auto"/>
            </w:tcBorders>
            <w:vAlign w:val="center"/>
          </w:tcPr>
          <w:p w14:paraId="51B98D39" w14:textId="77777777" w:rsidR="003766DA" w:rsidRPr="001F5582" w:rsidRDefault="003766DA" w:rsidP="00AF1FD4">
            <w:pPr>
              <w:pStyle w:val="NoSpacing"/>
              <w:jc w:val="center"/>
              <w:rPr>
                <w:rFonts w:cstheme="majorBidi"/>
                <w:sz w:val="20"/>
                <w:szCs w:val="20"/>
              </w:rPr>
            </w:pPr>
            <w:r>
              <w:rPr>
                <w:rFonts w:cstheme="majorBidi"/>
                <w:sz w:val="20"/>
                <w:szCs w:val="20"/>
              </w:rPr>
              <w:t>Cambridge has adopted a target of reducing municipal operations emissions 30% below 2008 levels by 2020.</w:t>
            </w:r>
          </w:p>
        </w:tc>
      </w:tr>
      <w:tr w:rsidR="003766DA" w:rsidRPr="001F5582" w14:paraId="235028F6" w14:textId="77777777" w:rsidTr="00AF1FD4">
        <w:trPr>
          <w:trHeight w:val="770"/>
          <w:jc w:val="center"/>
        </w:trPr>
        <w:tc>
          <w:tcPr>
            <w:tcW w:w="3528" w:type="dxa"/>
            <w:tcBorders>
              <w:top w:val="single" w:sz="4" w:space="0" w:color="auto"/>
              <w:left w:val="single" w:sz="4" w:space="0" w:color="auto"/>
              <w:bottom w:val="single" w:sz="4" w:space="0" w:color="auto"/>
              <w:right w:val="single" w:sz="4" w:space="0" w:color="auto"/>
            </w:tcBorders>
            <w:vAlign w:val="center"/>
          </w:tcPr>
          <w:p w14:paraId="7AF2053C" w14:textId="77777777" w:rsidR="003766DA" w:rsidRPr="001F5582" w:rsidRDefault="003766DA" w:rsidP="00AF1FD4">
            <w:pPr>
              <w:pStyle w:val="NoSpacing"/>
              <w:jc w:val="center"/>
              <w:rPr>
                <w:rFonts w:cstheme="majorBidi"/>
                <w:sz w:val="20"/>
                <w:szCs w:val="20"/>
              </w:rPr>
            </w:pPr>
            <w:r w:rsidRPr="005E6903">
              <w:rPr>
                <w:rFonts w:cstheme="majorBidi"/>
                <w:sz w:val="20"/>
                <w:szCs w:val="20"/>
              </w:rPr>
              <w:t>2. Net Zero Emissions from New &amp; Existing Buildings</w:t>
            </w:r>
          </w:p>
        </w:tc>
        <w:tc>
          <w:tcPr>
            <w:tcW w:w="6048" w:type="dxa"/>
            <w:tcBorders>
              <w:top w:val="single" w:sz="4" w:space="0" w:color="auto"/>
              <w:left w:val="single" w:sz="4" w:space="0" w:color="auto"/>
              <w:bottom w:val="single" w:sz="4" w:space="0" w:color="auto"/>
              <w:right w:val="single" w:sz="4" w:space="0" w:color="auto"/>
            </w:tcBorders>
            <w:vAlign w:val="center"/>
          </w:tcPr>
          <w:p w14:paraId="31BFBA05" w14:textId="480E4667" w:rsidR="003766DA" w:rsidRPr="001F5582" w:rsidRDefault="003766DA" w:rsidP="00AF1FD4">
            <w:pPr>
              <w:pStyle w:val="NoSpacing"/>
              <w:jc w:val="center"/>
              <w:rPr>
                <w:rFonts w:cstheme="majorBidi"/>
                <w:sz w:val="20"/>
                <w:szCs w:val="20"/>
              </w:rPr>
            </w:pPr>
            <w:r>
              <w:rPr>
                <w:rFonts w:cstheme="majorBidi"/>
                <w:sz w:val="20"/>
                <w:szCs w:val="20"/>
              </w:rPr>
              <w:t>Cambridge has adopted a policy requiring all new buildings in the community to be Zero Net Emissions (ZNE) by 2030 and all existing buildings in the community to be ZNE by 2050.</w:t>
            </w:r>
          </w:p>
        </w:tc>
      </w:tr>
      <w:tr w:rsidR="003766DA" w:rsidRPr="001F5582" w14:paraId="0D960E96" w14:textId="77777777" w:rsidTr="00AF1FD4">
        <w:trPr>
          <w:trHeight w:val="770"/>
          <w:jc w:val="center"/>
        </w:trPr>
        <w:tc>
          <w:tcPr>
            <w:tcW w:w="3528" w:type="dxa"/>
            <w:tcBorders>
              <w:top w:val="single" w:sz="4" w:space="0" w:color="auto"/>
              <w:left w:val="single" w:sz="4" w:space="0" w:color="auto"/>
              <w:bottom w:val="single" w:sz="4" w:space="0" w:color="auto"/>
              <w:right w:val="single" w:sz="4" w:space="0" w:color="auto"/>
            </w:tcBorders>
            <w:vAlign w:val="center"/>
          </w:tcPr>
          <w:p w14:paraId="5540225C" w14:textId="77777777" w:rsidR="003766DA" w:rsidRPr="001F5582" w:rsidRDefault="003766DA" w:rsidP="00AF1FD4">
            <w:pPr>
              <w:pStyle w:val="NoSpacing"/>
              <w:jc w:val="center"/>
              <w:rPr>
                <w:rFonts w:cstheme="majorBidi"/>
                <w:sz w:val="20"/>
                <w:szCs w:val="20"/>
              </w:rPr>
            </w:pPr>
            <w:r w:rsidRPr="005E6903">
              <w:rPr>
                <w:rFonts w:cstheme="majorBidi"/>
                <w:sz w:val="20"/>
                <w:szCs w:val="20"/>
              </w:rPr>
              <w:t>3. Solar Installations in Cambridge</w:t>
            </w:r>
          </w:p>
        </w:tc>
        <w:tc>
          <w:tcPr>
            <w:tcW w:w="6048" w:type="dxa"/>
            <w:tcBorders>
              <w:top w:val="single" w:sz="4" w:space="0" w:color="auto"/>
              <w:left w:val="single" w:sz="4" w:space="0" w:color="auto"/>
              <w:bottom w:val="single" w:sz="4" w:space="0" w:color="auto"/>
              <w:right w:val="single" w:sz="4" w:space="0" w:color="auto"/>
            </w:tcBorders>
            <w:vAlign w:val="center"/>
          </w:tcPr>
          <w:p w14:paraId="1872F7B8" w14:textId="77777777" w:rsidR="003766DA" w:rsidRPr="001F5582" w:rsidRDefault="003766DA" w:rsidP="00AF1FD4">
            <w:pPr>
              <w:pStyle w:val="NoSpacing"/>
              <w:jc w:val="center"/>
              <w:rPr>
                <w:rFonts w:cstheme="majorBidi"/>
                <w:sz w:val="20"/>
                <w:szCs w:val="20"/>
              </w:rPr>
            </w:pPr>
            <w:r>
              <w:rPr>
                <w:rFonts w:cstheme="majorBidi"/>
                <w:sz w:val="20"/>
                <w:szCs w:val="20"/>
              </w:rPr>
              <w:t>Cambridge has adopted a target of 60 MW of installed solar capacity in the community by 2020 and 160 MW of installed solar capacity in the community by 2040.</w:t>
            </w:r>
          </w:p>
        </w:tc>
      </w:tr>
      <w:tr w:rsidR="003766DA" w:rsidRPr="001F5582" w14:paraId="017CC618" w14:textId="77777777" w:rsidTr="00AF1FD4">
        <w:trPr>
          <w:trHeight w:val="770"/>
          <w:jc w:val="center"/>
        </w:trPr>
        <w:tc>
          <w:tcPr>
            <w:tcW w:w="3528" w:type="dxa"/>
            <w:tcBorders>
              <w:top w:val="single" w:sz="4" w:space="0" w:color="auto"/>
              <w:left w:val="single" w:sz="4" w:space="0" w:color="auto"/>
              <w:bottom w:val="single" w:sz="4" w:space="0" w:color="auto"/>
              <w:right w:val="single" w:sz="4" w:space="0" w:color="auto"/>
            </w:tcBorders>
            <w:vAlign w:val="center"/>
          </w:tcPr>
          <w:p w14:paraId="50BA4192" w14:textId="77777777" w:rsidR="003766DA" w:rsidRPr="001F5582" w:rsidRDefault="003766DA" w:rsidP="00AF1FD4">
            <w:pPr>
              <w:pStyle w:val="NoSpacing"/>
              <w:jc w:val="center"/>
              <w:rPr>
                <w:rFonts w:cstheme="majorBidi"/>
                <w:sz w:val="20"/>
                <w:szCs w:val="20"/>
              </w:rPr>
            </w:pPr>
            <w:r w:rsidRPr="005E6903">
              <w:rPr>
                <w:rFonts w:cstheme="majorBidi"/>
                <w:sz w:val="20"/>
                <w:szCs w:val="20"/>
              </w:rPr>
              <w:t>4. Reduce Vehicle Miles Travelled by Vehicles Registered in Cambridge</w:t>
            </w:r>
          </w:p>
        </w:tc>
        <w:tc>
          <w:tcPr>
            <w:tcW w:w="6048" w:type="dxa"/>
            <w:tcBorders>
              <w:top w:val="single" w:sz="4" w:space="0" w:color="auto"/>
              <w:left w:val="single" w:sz="4" w:space="0" w:color="auto"/>
              <w:bottom w:val="single" w:sz="4" w:space="0" w:color="auto"/>
              <w:right w:val="single" w:sz="4" w:space="0" w:color="auto"/>
            </w:tcBorders>
            <w:vAlign w:val="center"/>
          </w:tcPr>
          <w:p w14:paraId="147256E8" w14:textId="77777777" w:rsidR="003766DA" w:rsidRPr="001F5582" w:rsidRDefault="003766DA" w:rsidP="00AF1FD4">
            <w:pPr>
              <w:pStyle w:val="NoSpacing"/>
              <w:jc w:val="center"/>
              <w:rPr>
                <w:rFonts w:cstheme="majorBidi"/>
                <w:sz w:val="20"/>
                <w:szCs w:val="20"/>
              </w:rPr>
            </w:pPr>
            <w:r>
              <w:rPr>
                <w:rFonts w:cstheme="majorBidi"/>
                <w:sz w:val="20"/>
                <w:szCs w:val="20"/>
              </w:rPr>
              <w:t>Cambridge has adopted a target of reducing community VMT 5% below 2010 levels by 2020.</w:t>
            </w:r>
          </w:p>
        </w:tc>
      </w:tr>
      <w:tr w:rsidR="003766DA" w:rsidRPr="001F5582" w14:paraId="017EB019" w14:textId="77777777" w:rsidTr="00AF1FD4">
        <w:trPr>
          <w:trHeight w:val="770"/>
          <w:jc w:val="center"/>
        </w:trPr>
        <w:tc>
          <w:tcPr>
            <w:tcW w:w="3528" w:type="dxa"/>
            <w:tcBorders>
              <w:top w:val="single" w:sz="4" w:space="0" w:color="auto"/>
              <w:left w:val="single" w:sz="4" w:space="0" w:color="auto"/>
              <w:bottom w:val="single" w:sz="4" w:space="0" w:color="auto"/>
              <w:right w:val="single" w:sz="4" w:space="0" w:color="auto"/>
            </w:tcBorders>
            <w:vAlign w:val="center"/>
          </w:tcPr>
          <w:p w14:paraId="2AC848F5" w14:textId="77777777" w:rsidR="003766DA" w:rsidRPr="001F5582" w:rsidRDefault="003766DA" w:rsidP="00AF1FD4">
            <w:pPr>
              <w:pStyle w:val="NoSpacing"/>
              <w:jc w:val="center"/>
              <w:rPr>
                <w:rFonts w:cstheme="majorBidi"/>
                <w:sz w:val="20"/>
                <w:szCs w:val="20"/>
              </w:rPr>
            </w:pPr>
            <w:r w:rsidRPr="005E6903">
              <w:rPr>
                <w:rFonts w:cstheme="majorBidi"/>
                <w:sz w:val="20"/>
                <w:szCs w:val="20"/>
              </w:rPr>
              <w:t>5. Reduce Vehicle Ownership Per Household Rate</w:t>
            </w:r>
          </w:p>
        </w:tc>
        <w:tc>
          <w:tcPr>
            <w:tcW w:w="6048" w:type="dxa"/>
            <w:tcBorders>
              <w:top w:val="single" w:sz="4" w:space="0" w:color="auto"/>
              <w:left w:val="single" w:sz="4" w:space="0" w:color="auto"/>
              <w:bottom w:val="single" w:sz="4" w:space="0" w:color="auto"/>
              <w:right w:val="single" w:sz="4" w:space="0" w:color="auto"/>
            </w:tcBorders>
            <w:vAlign w:val="center"/>
          </w:tcPr>
          <w:p w14:paraId="60A3A85C" w14:textId="77777777" w:rsidR="003766DA" w:rsidRPr="001F5582" w:rsidRDefault="003766DA" w:rsidP="00AF1FD4">
            <w:pPr>
              <w:pStyle w:val="NoSpacing"/>
              <w:jc w:val="center"/>
              <w:rPr>
                <w:rFonts w:cstheme="majorBidi"/>
                <w:sz w:val="20"/>
                <w:szCs w:val="20"/>
              </w:rPr>
            </w:pPr>
            <w:r>
              <w:rPr>
                <w:rFonts w:cstheme="majorBidi"/>
                <w:sz w:val="20"/>
                <w:szCs w:val="20"/>
              </w:rPr>
              <w:t>Cambridge has adopted a target of reducing community vehicle ownership per household 15% below 1990 levels by 2020.</w:t>
            </w:r>
          </w:p>
        </w:tc>
      </w:tr>
      <w:tr w:rsidR="003766DA" w:rsidRPr="001F5582" w14:paraId="7D42F7A7" w14:textId="77777777" w:rsidTr="00AF1FD4">
        <w:trPr>
          <w:trHeight w:val="770"/>
          <w:jc w:val="center"/>
        </w:trPr>
        <w:tc>
          <w:tcPr>
            <w:tcW w:w="3528" w:type="dxa"/>
            <w:tcBorders>
              <w:top w:val="single" w:sz="4" w:space="0" w:color="auto"/>
              <w:left w:val="single" w:sz="4" w:space="0" w:color="auto"/>
              <w:bottom w:val="single" w:sz="4" w:space="0" w:color="auto"/>
              <w:right w:val="single" w:sz="4" w:space="0" w:color="auto"/>
            </w:tcBorders>
            <w:vAlign w:val="center"/>
          </w:tcPr>
          <w:p w14:paraId="743662A1" w14:textId="77777777" w:rsidR="003766DA" w:rsidRPr="001F5582" w:rsidRDefault="003766DA" w:rsidP="00AF1FD4">
            <w:pPr>
              <w:pStyle w:val="NoSpacing"/>
              <w:jc w:val="center"/>
              <w:rPr>
                <w:rFonts w:cstheme="majorBidi"/>
                <w:sz w:val="20"/>
                <w:szCs w:val="20"/>
              </w:rPr>
            </w:pPr>
            <w:r w:rsidRPr="005E6903">
              <w:rPr>
                <w:rFonts w:cstheme="majorBidi"/>
                <w:sz w:val="20"/>
                <w:szCs w:val="20"/>
              </w:rPr>
              <w:t>6. Reduce Residential Waste Collected by the City Trash Service</w:t>
            </w:r>
          </w:p>
        </w:tc>
        <w:tc>
          <w:tcPr>
            <w:tcW w:w="6048" w:type="dxa"/>
            <w:tcBorders>
              <w:top w:val="single" w:sz="4" w:space="0" w:color="auto"/>
              <w:left w:val="single" w:sz="4" w:space="0" w:color="auto"/>
              <w:bottom w:val="single" w:sz="4" w:space="0" w:color="auto"/>
              <w:right w:val="single" w:sz="4" w:space="0" w:color="auto"/>
            </w:tcBorders>
            <w:vAlign w:val="center"/>
          </w:tcPr>
          <w:p w14:paraId="6572B97E" w14:textId="77777777" w:rsidR="003766DA" w:rsidRPr="001F5582" w:rsidRDefault="003766DA" w:rsidP="00AF1FD4">
            <w:pPr>
              <w:pStyle w:val="NoSpacing"/>
              <w:jc w:val="center"/>
              <w:rPr>
                <w:rFonts w:cstheme="majorBidi"/>
                <w:sz w:val="20"/>
                <w:szCs w:val="20"/>
              </w:rPr>
            </w:pPr>
            <w:r>
              <w:rPr>
                <w:rFonts w:cstheme="majorBidi"/>
                <w:sz w:val="20"/>
                <w:szCs w:val="20"/>
              </w:rPr>
              <w:t>Cambridge has adopted a target of reducing residential waste collected by the City trash service 30% below 2008 levels by 2020 and 80% below 2008 levels by 2050.</w:t>
            </w:r>
          </w:p>
        </w:tc>
      </w:tr>
    </w:tbl>
    <w:p w14:paraId="0D23BC8E" w14:textId="77777777" w:rsidR="003766DA" w:rsidRDefault="003766DA" w:rsidP="003766DA">
      <w:pPr>
        <w:pStyle w:val="ParaText"/>
      </w:pPr>
    </w:p>
    <w:p w14:paraId="2F0542DE" w14:textId="77777777" w:rsidR="003766DA" w:rsidRDefault="003766DA" w:rsidP="003766DA">
      <w:pPr>
        <w:pStyle w:val="Heading4"/>
        <w:numPr>
          <w:ilvl w:val="0"/>
          <w:numId w:val="0"/>
        </w:numPr>
        <w:ind w:left="1134" w:hanging="1134"/>
      </w:pPr>
      <w:r>
        <w:t xml:space="preserve">City Measure 1: Reduction in Municipal Operations Emissions </w:t>
      </w:r>
    </w:p>
    <w:p w14:paraId="77E309B9" w14:textId="77777777" w:rsidR="003766DA" w:rsidRDefault="003766DA" w:rsidP="003766DA">
      <w:pPr>
        <w:pStyle w:val="ParaText"/>
      </w:pPr>
    </w:p>
    <w:p w14:paraId="5BF8FE8F" w14:textId="77777777" w:rsidR="003766DA" w:rsidRDefault="003766DA" w:rsidP="003766DA">
      <w:pPr>
        <w:pStyle w:val="ParaText"/>
      </w:pPr>
      <w:r w:rsidRPr="00A73F40">
        <w:rPr>
          <w:b/>
          <w:bCs/>
        </w:rPr>
        <w:t xml:space="preserve">Description of </w:t>
      </w:r>
      <w:r>
        <w:rPr>
          <w:b/>
          <w:bCs/>
        </w:rPr>
        <w:t>Measure</w:t>
      </w:r>
      <w:r w:rsidRPr="00A73F40">
        <w:rPr>
          <w:b/>
          <w:bCs/>
        </w:rPr>
        <w:t xml:space="preserve">: </w:t>
      </w:r>
      <w:r w:rsidRPr="002B7FA6">
        <w:t>Cambridge has adopted a target of reducing municipal operations emissions 30% below 2008 levels by 2020.</w:t>
      </w:r>
    </w:p>
    <w:p w14:paraId="7A4A93A1" w14:textId="1003D3CC" w:rsidR="003766DA" w:rsidRPr="002B7FA6" w:rsidRDefault="003766DA" w:rsidP="003766DA">
      <w:pPr>
        <w:pStyle w:val="ParaText"/>
      </w:pPr>
      <w:r w:rsidRPr="00A73F40">
        <w:rPr>
          <w:b/>
          <w:bCs/>
        </w:rPr>
        <w:t xml:space="preserve">Methodology for Quantifying </w:t>
      </w:r>
      <w:r>
        <w:rPr>
          <w:b/>
          <w:bCs/>
        </w:rPr>
        <w:t xml:space="preserve">Measure: </w:t>
      </w:r>
      <w:r>
        <w:t xml:space="preserve">Cambridge’s municipal operations emissions for 2008 of 28,486 MT CO2e were pulled from the “City of Cambridge Municipal Greenhouse Gas Inventory 2008-2012.” A 30% reduction below this 2008 level by 2020 would represent in avoided emissions totaling 2,821 MT CO2e. Since Cambridge does not have a target for reduction in municipal operations emissions for a target year beyond 2020, it was assumed that this avoided emissions level of 2,821 MT CO2e would plateau in 2020 and remain constant for forecast years 2030, 2040 and 2050. </w:t>
      </w:r>
    </w:p>
    <w:p w14:paraId="1A0E85F8" w14:textId="77777777" w:rsidR="003766DA" w:rsidRDefault="003766DA" w:rsidP="003766DA">
      <w:pPr>
        <w:pStyle w:val="Heading4"/>
        <w:numPr>
          <w:ilvl w:val="0"/>
          <w:numId w:val="0"/>
        </w:numPr>
        <w:ind w:left="1134" w:hanging="1134"/>
      </w:pPr>
      <w:r>
        <w:t>City Measure 2: Net Zero Emissions from New and Existing Buildings</w:t>
      </w:r>
    </w:p>
    <w:p w14:paraId="3A3645F3" w14:textId="77777777" w:rsidR="003766DA" w:rsidRPr="009E3E19" w:rsidRDefault="003766DA" w:rsidP="003766DA">
      <w:pPr>
        <w:pStyle w:val="ParaText"/>
      </w:pPr>
    </w:p>
    <w:p w14:paraId="4F26405C" w14:textId="77777777" w:rsidR="003766DA" w:rsidRDefault="003766DA" w:rsidP="003766DA">
      <w:pPr>
        <w:pStyle w:val="ParaText"/>
      </w:pPr>
      <w:r w:rsidRPr="003A51F5">
        <w:rPr>
          <w:b/>
          <w:bCs/>
        </w:rPr>
        <w:t>Description of Measure:</w:t>
      </w:r>
      <w:r w:rsidRPr="00A73F40">
        <w:t xml:space="preserve"> </w:t>
      </w:r>
      <w:r w:rsidRPr="003A51F5">
        <w:t>In June of 2015 Cambridge City Council adopted the Net Zero 25-year Action Plan. This plan focuses on energy consumption in the building sectors and aims to expa</w:t>
      </w:r>
      <w:r>
        <w:t>nd the number of buildings whose</w:t>
      </w:r>
      <w:r w:rsidRPr="003A51F5">
        <w:t xml:space="preserve"> </w:t>
      </w:r>
      <w:r>
        <w:t xml:space="preserve">annual emissions are offset by </w:t>
      </w:r>
      <w:r w:rsidRPr="003A51F5">
        <w:t xml:space="preserve">carbon-free energy production. The strategies to achieve </w:t>
      </w:r>
      <w:r w:rsidRPr="003A51F5">
        <w:lastRenderedPageBreak/>
        <w:t xml:space="preserve">this include increasing energy efficiency and renewable energy production and purchasing carbon offsets when necessary in both newly constructed buildings and existing buildings. </w:t>
      </w:r>
    </w:p>
    <w:p w14:paraId="097FF566" w14:textId="4D173CF5" w:rsidR="003766DA" w:rsidRDefault="003766DA" w:rsidP="003766DA">
      <w:pPr>
        <w:pStyle w:val="ParaText"/>
      </w:pPr>
      <w:r w:rsidRPr="003A51F5">
        <w:t>For new construction, the plan is to use zoning ordinances and policy actions to make incremental improvements in the design of buildings resulting in all new building being net zero by 2030. As p</w:t>
      </w:r>
      <w:r>
        <w:t xml:space="preserve">art of the Net Zero Action Plan, a </w:t>
      </w:r>
      <w:r w:rsidRPr="003A51F5">
        <w:t>series of targets have been set for building types. For example,</w:t>
      </w:r>
      <w:r w:rsidR="00D67840">
        <w:t xml:space="preserve">                                                                                                                                                                                                                       </w:t>
      </w:r>
      <w:r w:rsidRPr="003A51F5">
        <w:t xml:space="preserve"> by 2020 the goal is to have any new municipal building be net zero. This is followed by the target that new homes will be net zero in 2022, new multi-family,</w:t>
      </w:r>
      <w:r>
        <w:t xml:space="preserve"> commercial, and institutional </w:t>
      </w:r>
      <w:r w:rsidRPr="003A51F5">
        <w:t>buildings w</w:t>
      </w:r>
      <w:r>
        <w:t xml:space="preserve">ill be net zero in 2025, and new labs will be required to be net zero in </w:t>
      </w:r>
      <w:r w:rsidRPr="003A51F5">
        <w:t xml:space="preserve">2030. To help developers reach these targets, a variety of incentives will be utilized. </w:t>
      </w:r>
    </w:p>
    <w:p w14:paraId="0CF5F3B8" w14:textId="77777777" w:rsidR="003766DA" w:rsidRPr="003A51F5" w:rsidRDefault="003766DA" w:rsidP="003766DA">
      <w:pPr>
        <w:pStyle w:val="ParaText"/>
      </w:pPr>
      <w:r w:rsidRPr="003A51F5">
        <w:t>For existing buildings</w:t>
      </w:r>
      <w:r>
        <w:t>, the C</w:t>
      </w:r>
      <w:r w:rsidRPr="003A51F5">
        <w:t>ity plans to leverage incentives and regulations to encourage building owners to improve the performance of their buildings.  Building owners will be encouraged to work with the utilities to take advantage of energy efficiency incentive programs, and the city plans to continue to work with the utility to customize program</w:t>
      </w:r>
      <w:r>
        <w:t>s</w:t>
      </w:r>
      <w:r w:rsidRPr="003A51F5">
        <w:t xml:space="preserve"> to yield greater results in the city. The city </w:t>
      </w:r>
      <w:r>
        <w:t>will also</w:t>
      </w:r>
      <w:r w:rsidRPr="003A51F5">
        <w:t xml:space="preserve"> continue to leverage the Building Energy Us</w:t>
      </w:r>
      <w:r>
        <w:t xml:space="preserve">e Disclosure Ordinance (BEUDO) </w:t>
      </w:r>
      <w:r w:rsidRPr="003A51F5">
        <w:t>and explore Time of Renovation or Sale Improvements.</w:t>
      </w:r>
      <w:r>
        <w:t xml:space="preserve"> </w:t>
      </w:r>
      <w:r w:rsidRPr="003A51F5">
        <w:t>With these actions the city hopes to reach its goal to achieve significant reductions in GHG emissions fro</w:t>
      </w:r>
      <w:r>
        <w:t xml:space="preserve">m the buildings sector by 2040 and have all existing buildings in the City to a net zero standard by 2050. </w:t>
      </w:r>
    </w:p>
    <w:p w14:paraId="52938D05" w14:textId="77777777" w:rsidR="003766DA" w:rsidRDefault="003766DA" w:rsidP="003766DA">
      <w:pPr>
        <w:pStyle w:val="ParaText"/>
      </w:pPr>
      <w:r w:rsidRPr="003A51F5">
        <w:rPr>
          <w:b/>
          <w:bCs/>
        </w:rPr>
        <w:t>Methodology for Quantifying Measure:</w:t>
      </w:r>
      <w:r>
        <w:t xml:space="preserve"> </w:t>
      </w:r>
      <w:r w:rsidRPr="003A51F5">
        <w:t>To incor</w:t>
      </w:r>
      <w:r>
        <w:t>porate the anticipated emission</w:t>
      </w:r>
      <w:r w:rsidRPr="003A51F5">
        <w:t xml:space="preserve"> reductions from the Net Zero Action Plan into the forecast, DNV GL used the </w:t>
      </w:r>
      <w:r>
        <w:t>Net Zero Model provided by the C</w:t>
      </w:r>
      <w:r w:rsidRPr="003A51F5">
        <w:t xml:space="preserve">ity to calculate annual reductions by building type. The model is set up to take the total GHG emissions from building energy use in both the commercial </w:t>
      </w:r>
      <w:r>
        <w:t>and residential buildings sectors</w:t>
      </w:r>
      <w:r w:rsidRPr="003A51F5">
        <w:t xml:space="preserve"> and calculate the </w:t>
      </w:r>
      <w:r>
        <w:t xml:space="preserve">emissions </w:t>
      </w:r>
      <w:r w:rsidRPr="003A51F5">
        <w:t xml:space="preserve">reductions by year from 2015 – 2040. </w:t>
      </w:r>
    </w:p>
    <w:p w14:paraId="0195D4FB" w14:textId="6ABFFA60" w:rsidR="003766DA" w:rsidRDefault="003766DA" w:rsidP="003766DA">
      <w:pPr>
        <w:pStyle w:val="ParaText"/>
      </w:pPr>
      <w:r w:rsidRPr="003A51F5">
        <w:t>Because 2015 is the starting point for the Net Zero Model and the inventory year is 2012, DNV GL reviewed the energy consumption trends in the city for the commercial sector</w:t>
      </w:r>
      <w:r w:rsidRPr="000A47ED">
        <w:rPr>
          <w:rStyle w:val="FootnoteReference"/>
          <w:sz w:val="18"/>
          <w:szCs w:val="18"/>
        </w:rPr>
        <w:footnoteReference w:id="24"/>
      </w:r>
      <w:r w:rsidRPr="003A51F5">
        <w:t xml:space="preserve"> </w:t>
      </w:r>
      <w:r>
        <w:t xml:space="preserve">only </w:t>
      </w:r>
      <w:r w:rsidRPr="003A51F5">
        <w:t xml:space="preserve">using information provided by </w:t>
      </w:r>
      <w:proofErr w:type="spellStart"/>
      <w:r w:rsidRPr="003A51F5">
        <w:t>Eversource</w:t>
      </w:r>
      <w:proofErr w:type="spellEnd"/>
      <w:r w:rsidRPr="003A51F5">
        <w:t xml:space="preserve"> for the years 2012-2014 to estimate 2015 usage. Actual consumption information for the year 2015 could not be used because of questionable data quality. The trends show an overall reduction in energy use between 2012 and 2014 of about 14%, however there is a slight increase in energy use between 2012 and 2013. The increase may be in pa</w:t>
      </w:r>
      <w:r>
        <w:t>rt due to the higher number of heating degree d</w:t>
      </w:r>
      <w:r w:rsidRPr="003A51F5">
        <w:t>ays (HDD) for the year 2013, meanin</w:t>
      </w:r>
      <w:r>
        <w:t>g more natural gas was consumed. H</w:t>
      </w:r>
      <w:r w:rsidRPr="003A51F5">
        <w:t xml:space="preserve">owever, when looking at the normalized use of natural gas on an </w:t>
      </w:r>
      <w:proofErr w:type="spellStart"/>
      <w:r w:rsidRPr="003A51F5">
        <w:t>mm</w:t>
      </w:r>
      <w:r w:rsidR="00AF1FD4">
        <w:t>b</w:t>
      </w:r>
      <w:r w:rsidRPr="003A51F5">
        <w:t>tu</w:t>
      </w:r>
      <w:proofErr w:type="spellEnd"/>
      <w:r w:rsidRPr="003A51F5">
        <w:t xml:space="preserve">/HDD basis, 2014 shows an increase in </w:t>
      </w:r>
      <w:proofErr w:type="spellStart"/>
      <w:r w:rsidRPr="003A51F5">
        <w:t>mmbtu</w:t>
      </w:r>
      <w:r w:rsidR="00AF1FD4">
        <w:t>’</w:t>
      </w:r>
      <w:r w:rsidRPr="003A51F5">
        <w:t>s</w:t>
      </w:r>
      <w:proofErr w:type="spellEnd"/>
      <w:r w:rsidRPr="003A51F5">
        <w:t xml:space="preserve"> per HDD over the previous two years and</w:t>
      </w:r>
      <w:r>
        <w:t>,</w:t>
      </w:r>
      <w:r w:rsidRPr="003A51F5">
        <w:t xml:space="preserve"> in fact</w:t>
      </w:r>
      <w:r>
        <w:t>,</w:t>
      </w:r>
      <w:r w:rsidRPr="003A51F5">
        <w:t xml:space="preserve"> 2013 shows the lowest </w:t>
      </w:r>
      <w:proofErr w:type="spellStart"/>
      <w:r w:rsidRPr="003A51F5">
        <w:t>mmbtu</w:t>
      </w:r>
      <w:proofErr w:type="spellEnd"/>
      <w:r w:rsidRPr="003A51F5">
        <w:t>/HDD while hav</w:t>
      </w:r>
      <w:r>
        <w:t xml:space="preserve">ing the highest number of HDD. </w:t>
      </w:r>
    </w:p>
    <w:p w14:paraId="6C1864B1" w14:textId="39C2CDE5" w:rsidR="003766DA" w:rsidRPr="001823A7" w:rsidRDefault="003766DA" w:rsidP="003766DA">
      <w:pPr>
        <w:pStyle w:val="ParaText"/>
      </w:pPr>
      <w:r w:rsidRPr="003A51F5">
        <w:lastRenderedPageBreak/>
        <w:t xml:space="preserve">Electricity use shows a downward trend year over year by about 3% on average. Without fully understanding the reason for the fluctuations in natural gas usage, a trend of 3% reduction in energy use was used as a conservative value to estimate the GHG emissions from the commercial and residential building sectors in 2015. For the commercial sector, this was </w:t>
      </w:r>
      <w:r>
        <w:t xml:space="preserve">estimated to be 945,062 MTCO2e </w:t>
      </w:r>
      <w:r w:rsidRPr="003A51F5">
        <w:t xml:space="preserve">and for residential </w:t>
      </w:r>
      <w:r>
        <w:t xml:space="preserve">sector </w:t>
      </w:r>
      <w:r w:rsidRPr="003A51F5">
        <w:t xml:space="preserve">it was 187,550 MTCO2e. </w:t>
      </w:r>
      <w:proofErr w:type="gramStart"/>
      <w:r w:rsidRPr="003A51F5">
        <w:t>As a result of</w:t>
      </w:r>
      <w:proofErr w:type="gramEnd"/>
      <w:r w:rsidRPr="003A51F5">
        <w:t xml:space="preserve"> these actions it is estimated the Cambridge will </w:t>
      </w:r>
      <w:r>
        <w:t>avoid approximately</w:t>
      </w:r>
      <w:r w:rsidRPr="003A51F5">
        <w:t xml:space="preserve"> </w:t>
      </w:r>
      <w:r>
        <w:t>261,883 MT CO2e of emissions by the year 2030 and 493,951</w:t>
      </w:r>
      <w:r w:rsidRPr="003A51F5">
        <w:t xml:space="preserve"> MTCO2e</w:t>
      </w:r>
      <w:r>
        <w:t xml:space="preserve"> of emissions by the year 2040. See </w:t>
      </w:r>
      <w:r w:rsidRPr="003766DA">
        <w:rPr>
          <w:sz w:val="24"/>
        </w:rPr>
        <w:fldChar w:fldCharType="begin"/>
      </w:r>
      <w:r w:rsidRPr="003766DA">
        <w:rPr>
          <w:sz w:val="24"/>
        </w:rPr>
        <w:instrText xml:space="preserve"> REF _Ref477511691 \h </w:instrText>
      </w:r>
      <w:r>
        <w:rPr>
          <w:sz w:val="24"/>
        </w:rPr>
        <w:instrText xml:space="preserve"> \* MERGEFORMAT </w:instrText>
      </w:r>
      <w:r w:rsidRPr="003766DA">
        <w:rPr>
          <w:sz w:val="24"/>
        </w:rPr>
      </w:r>
      <w:r w:rsidRPr="003766DA">
        <w:rPr>
          <w:sz w:val="24"/>
        </w:rPr>
        <w:fldChar w:fldCharType="separate"/>
      </w:r>
      <w:r w:rsidR="00CD3629" w:rsidRPr="00CD3629">
        <w:t xml:space="preserve">Table </w:t>
      </w:r>
      <w:r w:rsidR="00CD3629" w:rsidRPr="00CD3629">
        <w:rPr>
          <w:noProof/>
        </w:rPr>
        <w:t>22</w:t>
      </w:r>
      <w:r w:rsidRPr="003766DA">
        <w:rPr>
          <w:sz w:val="24"/>
        </w:rPr>
        <w:fldChar w:fldCharType="end"/>
      </w:r>
      <w:r w:rsidRPr="003766DA">
        <w:rPr>
          <w:sz w:val="24"/>
        </w:rPr>
        <w:t xml:space="preserve"> </w:t>
      </w:r>
      <w:r>
        <w:t xml:space="preserve">below for a summary of emissions avoided by year and by building sector.  </w:t>
      </w:r>
      <w:r>
        <w:fldChar w:fldCharType="begin"/>
      </w:r>
      <w:r>
        <w:instrText xml:space="preserve"> REF _Ref477511668 \h </w:instrText>
      </w:r>
      <w:r>
        <w:fldChar w:fldCharType="end"/>
      </w:r>
    </w:p>
    <w:p w14:paraId="7EDBCD63" w14:textId="0161A875" w:rsidR="003766DA" w:rsidRPr="003766DA" w:rsidRDefault="003766DA" w:rsidP="003766DA">
      <w:pPr>
        <w:pStyle w:val="Caption"/>
        <w:rPr>
          <w:sz w:val="20"/>
        </w:rPr>
      </w:pPr>
      <w:bookmarkStart w:id="64" w:name="_Ref477511691"/>
      <w:bookmarkStart w:id="65" w:name="_Ref477511668"/>
      <w:r w:rsidRPr="003766DA">
        <w:rPr>
          <w:sz w:val="20"/>
        </w:rPr>
        <w:t xml:space="preserve">Table </w:t>
      </w:r>
      <w:r w:rsidRPr="003766DA">
        <w:rPr>
          <w:sz w:val="20"/>
        </w:rPr>
        <w:fldChar w:fldCharType="begin"/>
      </w:r>
      <w:r w:rsidRPr="003766DA">
        <w:rPr>
          <w:sz w:val="20"/>
        </w:rPr>
        <w:instrText xml:space="preserve"> SEQ Table \* ARABIC </w:instrText>
      </w:r>
      <w:r w:rsidRPr="003766DA">
        <w:rPr>
          <w:sz w:val="20"/>
        </w:rPr>
        <w:fldChar w:fldCharType="separate"/>
      </w:r>
      <w:r w:rsidR="00AD4785">
        <w:rPr>
          <w:noProof/>
          <w:sz w:val="20"/>
        </w:rPr>
        <w:t>22</w:t>
      </w:r>
      <w:r w:rsidRPr="003766DA">
        <w:rPr>
          <w:sz w:val="20"/>
        </w:rPr>
        <w:fldChar w:fldCharType="end"/>
      </w:r>
      <w:bookmarkEnd w:id="64"/>
      <w:r w:rsidRPr="003766DA">
        <w:rPr>
          <w:sz w:val="20"/>
        </w:rPr>
        <w:t>: Summary of Emissions Avoided from Net Zero Action Plan</w:t>
      </w:r>
      <w:bookmarkEnd w:id="65"/>
    </w:p>
    <w:tbl>
      <w:tblPr>
        <w:tblW w:w="6957"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1957"/>
        <w:gridCol w:w="1715"/>
        <w:gridCol w:w="1643"/>
        <w:gridCol w:w="1642"/>
      </w:tblGrid>
      <w:tr w:rsidR="003766DA" w:rsidRPr="001F5582" w14:paraId="0A301CD6" w14:textId="77777777" w:rsidTr="00AF1FD4">
        <w:trPr>
          <w:trHeight w:val="711"/>
          <w:jc w:val="center"/>
        </w:trPr>
        <w:tc>
          <w:tcPr>
            <w:tcW w:w="1957" w:type="dxa"/>
            <w:tcBorders>
              <w:top w:val="single" w:sz="4" w:space="0" w:color="auto"/>
              <w:bottom w:val="single" w:sz="4" w:space="0" w:color="auto"/>
            </w:tcBorders>
            <w:shd w:val="clear" w:color="auto" w:fill="548DD4" w:themeFill="text2" w:themeFillTint="99"/>
            <w:vAlign w:val="center"/>
          </w:tcPr>
          <w:p w14:paraId="51635AB5" w14:textId="77777777" w:rsidR="003766DA" w:rsidRPr="003A51F5"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Sector</w:t>
            </w:r>
          </w:p>
        </w:tc>
        <w:tc>
          <w:tcPr>
            <w:tcW w:w="1715" w:type="dxa"/>
            <w:tcBorders>
              <w:top w:val="single" w:sz="4" w:space="0" w:color="auto"/>
              <w:bottom w:val="single" w:sz="4" w:space="0" w:color="auto"/>
            </w:tcBorders>
            <w:shd w:val="clear" w:color="auto" w:fill="548DD4" w:themeFill="text2" w:themeFillTint="99"/>
          </w:tcPr>
          <w:p w14:paraId="6B9BA273" w14:textId="77777777" w:rsidR="003766DA" w:rsidRPr="003A51F5"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2030 Emissions Avoided (MT CO2e)</w:t>
            </w:r>
          </w:p>
        </w:tc>
        <w:tc>
          <w:tcPr>
            <w:tcW w:w="1643" w:type="dxa"/>
            <w:tcBorders>
              <w:top w:val="single" w:sz="4" w:space="0" w:color="auto"/>
              <w:bottom w:val="single" w:sz="4" w:space="0" w:color="auto"/>
            </w:tcBorders>
            <w:shd w:val="clear" w:color="auto" w:fill="548DD4" w:themeFill="text2" w:themeFillTint="99"/>
          </w:tcPr>
          <w:p w14:paraId="4CB407AB" w14:textId="77777777" w:rsidR="003766DA" w:rsidRPr="003A51F5"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2040 Emissions Avoided (MT CO2e)</w:t>
            </w:r>
          </w:p>
        </w:tc>
        <w:tc>
          <w:tcPr>
            <w:tcW w:w="1642" w:type="dxa"/>
            <w:tcBorders>
              <w:top w:val="single" w:sz="4" w:space="0" w:color="auto"/>
              <w:bottom w:val="single" w:sz="4" w:space="0" w:color="auto"/>
            </w:tcBorders>
            <w:shd w:val="clear" w:color="auto" w:fill="548DD4" w:themeFill="text2" w:themeFillTint="99"/>
          </w:tcPr>
          <w:p w14:paraId="3197088F" w14:textId="77777777" w:rsidR="003766DA" w:rsidRPr="003A51F5"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2050 Emissions Avoided (MT CO2e)</w:t>
            </w:r>
          </w:p>
        </w:tc>
      </w:tr>
      <w:tr w:rsidR="003766DA" w:rsidRPr="001F5582" w14:paraId="674C6BAE" w14:textId="77777777" w:rsidTr="00AF1FD4">
        <w:trPr>
          <w:trHeight w:val="326"/>
          <w:jc w:val="center"/>
        </w:trPr>
        <w:tc>
          <w:tcPr>
            <w:tcW w:w="1957" w:type="dxa"/>
            <w:tcBorders>
              <w:top w:val="single" w:sz="4" w:space="0" w:color="auto"/>
              <w:bottom w:val="single" w:sz="4" w:space="0" w:color="auto"/>
            </w:tcBorders>
            <w:vAlign w:val="center"/>
          </w:tcPr>
          <w:p w14:paraId="72CEEAC5" w14:textId="77777777" w:rsidR="003766DA" w:rsidRPr="001F5582" w:rsidRDefault="003766DA" w:rsidP="00AF1FD4">
            <w:pPr>
              <w:pStyle w:val="NoSpacing"/>
              <w:jc w:val="center"/>
              <w:rPr>
                <w:rFonts w:cstheme="majorBidi"/>
                <w:sz w:val="20"/>
                <w:szCs w:val="20"/>
              </w:rPr>
            </w:pPr>
            <w:r>
              <w:rPr>
                <w:rFonts w:cstheme="majorBidi"/>
                <w:sz w:val="20"/>
                <w:szCs w:val="20"/>
              </w:rPr>
              <w:t>New Residential</w:t>
            </w:r>
          </w:p>
        </w:tc>
        <w:tc>
          <w:tcPr>
            <w:tcW w:w="1715" w:type="dxa"/>
            <w:tcBorders>
              <w:top w:val="single" w:sz="4" w:space="0" w:color="auto"/>
              <w:bottom w:val="single" w:sz="4" w:space="0" w:color="auto"/>
            </w:tcBorders>
            <w:vAlign w:val="center"/>
          </w:tcPr>
          <w:p w14:paraId="07118E24" w14:textId="77777777" w:rsidR="003766DA" w:rsidRDefault="003766DA" w:rsidP="00AF1FD4">
            <w:pPr>
              <w:pStyle w:val="NoSpacing"/>
              <w:jc w:val="center"/>
              <w:rPr>
                <w:rFonts w:cstheme="majorBidi"/>
                <w:sz w:val="20"/>
                <w:szCs w:val="20"/>
              </w:rPr>
            </w:pPr>
            <w:r>
              <w:rPr>
                <w:rFonts w:cstheme="majorBidi"/>
                <w:sz w:val="20"/>
                <w:szCs w:val="20"/>
              </w:rPr>
              <w:t>21,004</w:t>
            </w:r>
          </w:p>
        </w:tc>
        <w:tc>
          <w:tcPr>
            <w:tcW w:w="1643" w:type="dxa"/>
            <w:tcBorders>
              <w:top w:val="single" w:sz="4" w:space="0" w:color="auto"/>
              <w:bottom w:val="single" w:sz="4" w:space="0" w:color="auto"/>
            </w:tcBorders>
            <w:vAlign w:val="center"/>
          </w:tcPr>
          <w:p w14:paraId="4786B73F" w14:textId="77777777" w:rsidR="003766DA" w:rsidRPr="001F5582" w:rsidRDefault="003766DA" w:rsidP="00AF1FD4">
            <w:pPr>
              <w:pStyle w:val="NoSpacing"/>
              <w:jc w:val="center"/>
              <w:rPr>
                <w:rFonts w:cstheme="majorBidi"/>
                <w:sz w:val="20"/>
                <w:szCs w:val="20"/>
              </w:rPr>
            </w:pPr>
            <w:r>
              <w:rPr>
                <w:rFonts w:cstheme="majorBidi"/>
                <w:sz w:val="20"/>
                <w:szCs w:val="20"/>
              </w:rPr>
              <w:t>43,822</w:t>
            </w:r>
          </w:p>
        </w:tc>
        <w:tc>
          <w:tcPr>
            <w:tcW w:w="1642" w:type="dxa"/>
            <w:tcBorders>
              <w:top w:val="single" w:sz="4" w:space="0" w:color="auto"/>
              <w:bottom w:val="single" w:sz="4" w:space="0" w:color="auto"/>
            </w:tcBorders>
            <w:vAlign w:val="center"/>
          </w:tcPr>
          <w:p w14:paraId="1630C042" w14:textId="77777777" w:rsidR="003766DA" w:rsidRDefault="003766DA" w:rsidP="00AF1FD4">
            <w:pPr>
              <w:pStyle w:val="NoSpacing"/>
              <w:jc w:val="center"/>
              <w:rPr>
                <w:rFonts w:cstheme="majorBidi"/>
                <w:sz w:val="20"/>
                <w:szCs w:val="20"/>
              </w:rPr>
            </w:pPr>
            <w:r>
              <w:rPr>
                <w:rFonts w:cstheme="majorBidi"/>
                <w:sz w:val="20"/>
                <w:szCs w:val="20"/>
              </w:rPr>
              <w:t>43,822</w:t>
            </w:r>
          </w:p>
        </w:tc>
      </w:tr>
      <w:tr w:rsidR="003766DA" w:rsidRPr="001F5582" w14:paraId="3E3B162D" w14:textId="77777777" w:rsidTr="00AF1FD4">
        <w:trPr>
          <w:trHeight w:val="326"/>
          <w:jc w:val="center"/>
        </w:trPr>
        <w:tc>
          <w:tcPr>
            <w:tcW w:w="1957" w:type="dxa"/>
            <w:tcBorders>
              <w:top w:val="single" w:sz="4" w:space="0" w:color="auto"/>
              <w:bottom w:val="single" w:sz="4" w:space="0" w:color="auto"/>
            </w:tcBorders>
            <w:vAlign w:val="center"/>
          </w:tcPr>
          <w:p w14:paraId="79CBEBE4" w14:textId="77777777" w:rsidR="003766DA" w:rsidRPr="001F5582" w:rsidRDefault="003766DA" w:rsidP="00AF1FD4">
            <w:pPr>
              <w:pStyle w:val="NoSpacing"/>
              <w:jc w:val="center"/>
              <w:rPr>
                <w:rFonts w:cstheme="majorBidi"/>
                <w:sz w:val="20"/>
                <w:szCs w:val="20"/>
              </w:rPr>
            </w:pPr>
            <w:r>
              <w:rPr>
                <w:rFonts w:cstheme="majorBidi"/>
                <w:sz w:val="20"/>
                <w:szCs w:val="20"/>
              </w:rPr>
              <w:t>Existing Residential</w:t>
            </w:r>
          </w:p>
        </w:tc>
        <w:tc>
          <w:tcPr>
            <w:tcW w:w="1715" w:type="dxa"/>
            <w:tcBorders>
              <w:top w:val="single" w:sz="4" w:space="0" w:color="auto"/>
              <w:bottom w:val="single" w:sz="4" w:space="0" w:color="auto"/>
            </w:tcBorders>
            <w:vAlign w:val="center"/>
          </w:tcPr>
          <w:p w14:paraId="1F25896F" w14:textId="77777777" w:rsidR="003766DA" w:rsidRDefault="003766DA" w:rsidP="00AF1FD4">
            <w:pPr>
              <w:pStyle w:val="NoSpacing"/>
              <w:jc w:val="center"/>
              <w:rPr>
                <w:rFonts w:cstheme="majorBidi"/>
                <w:sz w:val="20"/>
                <w:szCs w:val="20"/>
              </w:rPr>
            </w:pPr>
            <w:r>
              <w:rPr>
                <w:rFonts w:cstheme="majorBidi"/>
                <w:sz w:val="20"/>
                <w:szCs w:val="20"/>
              </w:rPr>
              <w:t>48,341</w:t>
            </w:r>
          </w:p>
        </w:tc>
        <w:tc>
          <w:tcPr>
            <w:tcW w:w="1643" w:type="dxa"/>
            <w:tcBorders>
              <w:top w:val="single" w:sz="4" w:space="0" w:color="auto"/>
              <w:bottom w:val="single" w:sz="4" w:space="0" w:color="auto"/>
            </w:tcBorders>
            <w:vAlign w:val="center"/>
          </w:tcPr>
          <w:p w14:paraId="7E1627AF" w14:textId="77777777" w:rsidR="003766DA" w:rsidRPr="001F5582" w:rsidRDefault="003766DA" w:rsidP="00AF1FD4">
            <w:pPr>
              <w:pStyle w:val="NoSpacing"/>
              <w:jc w:val="center"/>
              <w:rPr>
                <w:rFonts w:cstheme="majorBidi"/>
                <w:sz w:val="20"/>
                <w:szCs w:val="20"/>
              </w:rPr>
            </w:pPr>
            <w:r>
              <w:rPr>
                <w:rFonts w:cstheme="majorBidi"/>
                <w:sz w:val="20"/>
                <w:szCs w:val="20"/>
              </w:rPr>
              <w:t>162,432</w:t>
            </w:r>
          </w:p>
        </w:tc>
        <w:tc>
          <w:tcPr>
            <w:tcW w:w="1642" w:type="dxa"/>
            <w:tcBorders>
              <w:top w:val="single" w:sz="4" w:space="0" w:color="auto"/>
              <w:bottom w:val="single" w:sz="4" w:space="0" w:color="auto"/>
            </w:tcBorders>
            <w:vAlign w:val="center"/>
          </w:tcPr>
          <w:p w14:paraId="32FD65E7" w14:textId="77777777" w:rsidR="003766DA" w:rsidRDefault="003766DA" w:rsidP="00AF1FD4">
            <w:pPr>
              <w:pStyle w:val="NoSpacing"/>
              <w:jc w:val="center"/>
              <w:rPr>
                <w:rFonts w:cstheme="majorBidi"/>
                <w:sz w:val="20"/>
                <w:szCs w:val="20"/>
              </w:rPr>
            </w:pPr>
            <w:r>
              <w:rPr>
                <w:rFonts w:cstheme="majorBidi"/>
                <w:sz w:val="20"/>
                <w:szCs w:val="20"/>
              </w:rPr>
              <w:t>162,432</w:t>
            </w:r>
          </w:p>
        </w:tc>
      </w:tr>
      <w:tr w:rsidR="003766DA" w:rsidRPr="001F5582" w14:paraId="2D20C1B3" w14:textId="77777777" w:rsidTr="00AF1FD4">
        <w:trPr>
          <w:trHeight w:val="326"/>
          <w:jc w:val="center"/>
        </w:trPr>
        <w:tc>
          <w:tcPr>
            <w:tcW w:w="1957" w:type="dxa"/>
            <w:tcBorders>
              <w:top w:val="single" w:sz="4" w:space="0" w:color="auto"/>
              <w:bottom w:val="single" w:sz="4" w:space="0" w:color="auto"/>
            </w:tcBorders>
            <w:vAlign w:val="center"/>
          </w:tcPr>
          <w:p w14:paraId="7BCE8C38" w14:textId="77777777" w:rsidR="003766DA" w:rsidRPr="001F5582" w:rsidRDefault="003766DA" w:rsidP="00AF1FD4">
            <w:pPr>
              <w:pStyle w:val="NoSpacing"/>
              <w:jc w:val="center"/>
              <w:rPr>
                <w:rFonts w:cstheme="majorBidi"/>
                <w:sz w:val="20"/>
                <w:szCs w:val="20"/>
              </w:rPr>
            </w:pPr>
            <w:r>
              <w:rPr>
                <w:rFonts w:cstheme="majorBidi"/>
                <w:sz w:val="20"/>
                <w:szCs w:val="20"/>
              </w:rPr>
              <w:t>New Commercial</w:t>
            </w:r>
          </w:p>
        </w:tc>
        <w:tc>
          <w:tcPr>
            <w:tcW w:w="1715" w:type="dxa"/>
            <w:tcBorders>
              <w:top w:val="single" w:sz="4" w:space="0" w:color="auto"/>
              <w:bottom w:val="single" w:sz="4" w:space="0" w:color="auto"/>
            </w:tcBorders>
            <w:vAlign w:val="center"/>
          </w:tcPr>
          <w:p w14:paraId="3DE6324F" w14:textId="77777777" w:rsidR="003766DA" w:rsidRDefault="003766DA" w:rsidP="00AF1FD4">
            <w:pPr>
              <w:pStyle w:val="NoSpacing"/>
              <w:jc w:val="center"/>
              <w:rPr>
                <w:rFonts w:cstheme="majorBidi"/>
                <w:sz w:val="20"/>
                <w:szCs w:val="20"/>
              </w:rPr>
            </w:pPr>
            <w:r>
              <w:rPr>
                <w:rFonts w:cstheme="majorBidi"/>
                <w:sz w:val="20"/>
                <w:szCs w:val="20"/>
              </w:rPr>
              <w:t>37,718</w:t>
            </w:r>
          </w:p>
        </w:tc>
        <w:tc>
          <w:tcPr>
            <w:tcW w:w="1643" w:type="dxa"/>
            <w:tcBorders>
              <w:top w:val="single" w:sz="4" w:space="0" w:color="auto"/>
              <w:bottom w:val="single" w:sz="4" w:space="0" w:color="auto"/>
            </w:tcBorders>
            <w:vAlign w:val="center"/>
          </w:tcPr>
          <w:p w14:paraId="4324E52E" w14:textId="77777777" w:rsidR="003766DA" w:rsidRPr="001F5582" w:rsidRDefault="003766DA" w:rsidP="00AF1FD4">
            <w:pPr>
              <w:pStyle w:val="NoSpacing"/>
              <w:jc w:val="center"/>
              <w:rPr>
                <w:rFonts w:cstheme="majorBidi"/>
                <w:sz w:val="20"/>
                <w:szCs w:val="20"/>
              </w:rPr>
            </w:pPr>
            <w:r>
              <w:rPr>
                <w:rFonts w:cstheme="majorBidi"/>
                <w:sz w:val="20"/>
                <w:szCs w:val="20"/>
              </w:rPr>
              <w:t>84,962</w:t>
            </w:r>
          </w:p>
        </w:tc>
        <w:tc>
          <w:tcPr>
            <w:tcW w:w="1642" w:type="dxa"/>
            <w:tcBorders>
              <w:top w:val="single" w:sz="4" w:space="0" w:color="auto"/>
              <w:bottom w:val="single" w:sz="4" w:space="0" w:color="auto"/>
            </w:tcBorders>
            <w:vAlign w:val="center"/>
          </w:tcPr>
          <w:p w14:paraId="7978DF70" w14:textId="77777777" w:rsidR="003766DA" w:rsidRDefault="003766DA" w:rsidP="00AF1FD4">
            <w:pPr>
              <w:pStyle w:val="NoSpacing"/>
              <w:jc w:val="center"/>
              <w:rPr>
                <w:rFonts w:cstheme="majorBidi"/>
                <w:sz w:val="20"/>
                <w:szCs w:val="20"/>
              </w:rPr>
            </w:pPr>
            <w:r>
              <w:rPr>
                <w:rFonts w:cstheme="majorBidi"/>
                <w:sz w:val="20"/>
                <w:szCs w:val="20"/>
              </w:rPr>
              <w:t>84,962</w:t>
            </w:r>
          </w:p>
        </w:tc>
      </w:tr>
      <w:tr w:rsidR="003766DA" w:rsidRPr="001F5582" w14:paraId="43BC530C" w14:textId="77777777" w:rsidTr="00AF1FD4">
        <w:trPr>
          <w:trHeight w:val="326"/>
          <w:jc w:val="center"/>
        </w:trPr>
        <w:tc>
          <w:tcPr>
            <w:tcW w:w="1957" w:type="dxa"/>
            <w:tcBorders>
              <w:top w:val="single" w:sz="4" w:space="0" w:color="auto"/>
              <w:bottom w:val="single" w:sz="4" w:space="0" w:color="auto"/>
            </w:tcBorders>
            <w:vAlign w:val="center"/>
          </w:tcPr>
          <w:p w14:paraId="5CB3CD29" w14:textId="77777777" w:rsidR="003766DA" w:rsidRPr="001F5582" w:rsidRDefault="003766DA" w:rsidP="00AF1FD4">
            <w:pPr>
              <w:pStyle w:val="NoSpacing"/>
              <w:jc w:val="center"/>
              <w:rPr>
                <w:rFonts w:cstheme="majorBidi"/>
                <w:sz w:val="20"/>
                <w:szCs w:val="20"/>
              </w:rPr>
            </w:pPr>
            <w:r>
              <w:rPr>
                <w:rFonts w:cstheme="majorBidi"/>
                <w:sz w:val="20"/>
                <w:szCs w:val="20"/>
              </w:rPr>
              <w:t>Existing Commercial</w:t>
            </w:r>
          </w:p>
        </w:tc>
        <w:tc>
          <w:tcPr>
            <w:tcW w:w="1715" w:type="dxa"/>
            <w:tcBorders>
              <w:top w:val="single" w:sz="4" w:space="0" w:color="auto"/>
              <w:bottom w:val="single" w:sz="4" w:space="0" w:color="auto"/>
            </w:tcBorders>
            <w:vAlign w:val="center"/>
          </w:tcPr>
          <w:p w14:paraId="78D295A0" w14:textId="77777777" w:rsidR="003766DA" w:rsidRDefault="003766DA" w:rsidP="00AF1FD4">
            <w:pPr>
              <w:pStyle w:val="NoSpacing"/>
              <w:jc w:val="center"/>
              <w:rPr>
                <w:rFonts w:cstheme="majorBidi"/>
                <w:sz w:val="20"/>
                <w:szCs w:val="20"/>
              </w:rPr>
            </w:pPr>
            <w:r>
              <w:rPr>
                <w:rFonts w:cstheme="majorBidi"/>
                <w:sz w:val="20"/>
                <w:szCs w:val="20"/>
              </w:rPr>
              <w:t>154,821</w:t>
            </w:r>
          </w:p>
        </w:tc>
        <w:tc>
          <w:tcPr>
            <w:tcW w:w="1643" w:type="dxa"/>
            <w:tcBorders>
              <w:top w:val="single" w:sz="4" w:space="0" w:color="auto"/>
              <w:bottom w:val="single" w:sz="4" w:space="0" w:color="auto"/>
            </w:tcBorders>
            <w:vAlign w:val="center"/>
          </w:tcPr>
          <w:p w14:paraId="41C3255E" w14:textId="77777777" w:rsidR="003766DA" w:rsidRPr="001F5582" w:rsidRDefault="003766DA" w:rsidP="00AF1FD4">
            <w:pPr>
              <w:pStyle w:val="NoSpacing"/>
              <w:jc w:val="center"/>
              <w:rPr>
                <w:rFonts w:cstheme="majorBidi"/>
                <w:sz w:val="20"/>
                <w:szCs w:val="20"/>
              </w:rPr>
            </w:pPr>
            <w:r>
              <w:rPr>
                <w:rFonts w:cstheme="majorBidi"/>
                <w:sz w:val="20"/>
                <w:szCs w:val="20"/>
              </w:rPr>
              <w:t>202,735</w:t>
            </w:r>
          </w:p>
        </w:tc>
        <w:tc>
          <w:tcPr>
            <w:tcW w:w="1642" w:type="dxa"/>
            <w:tcBorders>
              <w:top w:val="single" w:sz="4" w:space="0" w:color="auto"/>
              <w:bottom w:val="single" w:sz="4" w:space="0" w:color="auto"/>
            </w:tcBorders>
            <w:vAlign w:val="center"/>
          </w:tcPr>
          <w:p w14:paraId="767D65EE" w14:textId="77777777" w:rsidR="003766DA" w:rsidRDefault="003766DA" w:rsidP="00AF1FD4">
            <w:pPr>
              <w:pStyle w:val="NoSpacing"/>
              <w:jc w:val="center"/>
              <w:rPr>
                <w:rFonts w:cstheme="majorBidi"/>
                <w:sz w:val="20"/>
                <w:szCs w:val="20"/>
              </w:rPr>
            </w:pPr>
            <w:r>
              <w:rPr>
                <w:rFonts w:cstheme="majorBidi"/>
                <w:sz w:val="20"/>
                <w:szCs w:val="20"/>
              </w:rPr>
              <w:t>202,735</w:t>
            </w:r>
          </w:p>
        </w:tc>
      </w:tr>
      <w:tr w:rsidR="003766DA" w:rsidRPr="001F5582" w14:paraId="57A99B25" w14:textId="77777777" w:rsidTr="00AF1FD4">
        <w:trPr>
          <w:trHeight w:val="326"/>
          <w:jc w:val="center"/>
        </w:trPr>
        <w:tc>
          <w:tcPr>
            <w:tcW w:w="1957" w:type="dxa"/>
            <w:tcBorders>
              <w:top w:val="single" w:sz="4" w:space="0" w:color="auto"/>
              <w:bottom w:val="single" w:sz="4" w:space="0" w:color="auto"/>
            </w:tcBorders>
            <w:vAlign w:val="center"/>
          </w:tcPr>
          <w:p w14:paraId="2ACAC94E" w14:textId="77777777" w:rsidR="003766DA" w:rsidRPr="00B6250F" w:rsidRDefault="003766DA" w:rsidP="00AF1FD4">
            <w:pPr>
              <w:pStyle w:val="NoSpacing"/>
              <w:jc w:val="center"/>
              <w:rPr>
                <w:rFonts w:cstheme="majorBidi"/>
                <w:b/>
                <w:bCs/>
                <w:sz w:val="20"/>
                <w:szCs w:val="20"/>
              </w:rPr>
            </w:pPr>
            <w:r w:rsidRPr="00B6250F">
              <w:rPr>
                <w:rFonts w:cstheme="majorBidi"/>
                <w:b/>
                <w:bCs/>
                <w:sz w:val="20"/>
                <w:szCs w:val="20"/>
              </w:rPr>
              <w:t>All Sectors</w:t>
            </w:r>
          </w:p>
        </w:tc>
        <w:tc>
          <w:tcPr>
            <w:tcW w:w="1715" w:type="dxa"/>
            <w:tcBorders>
              <w:top w:val="single" w:sz="4" w:space="0" w:color="auto"/>
              <w:bottom w:val="single" w:sz="4" w:space="0" w:color="auto"/>
            </w:tcBorders>
            <w:vAlign w:val="center"/>
          </w:tcPr>
          <w:p w14:paraId="409975ED" w14:textId="77777777" w:rsidR="003766DA" w:rsidRPr="00B6250F" w:rsidRDefault="003766DA" w:rsidP="00AF1FD4">
            <w:pPr>
              <w:pStyle w:val="NoSpacing"/>
              <w:jc w:val="center"/>
              <w:rPr>
                <w:rFonts w:cstheme="majorBidi"/>
                <w:b/>
                <w:bCs/>
                <w:sz w:val="20"/>
                <w:szCs w:val="20"/>
              </w:rPr>
            </w:pPr>
            <w:r w:rsidRPr="00B6250F">
              <w:rPr>
                <w:rFonts w:cstheme="majorBidi"/>
                <w:b/>
                <w:bCs/>
                <w:sz w:val="20"/>
                <w:szCs w:val="20"/>
              </w:rPr>
              <w:t>261,883</w:t>
            </w:r>
          </w:p>
        </w:tc>
        <w:tc>
          <w:tcPr>
            <w:tcW w:w="1643" w:type="dxa"/>
            <w:tcBorders>
              <w:top w:val="single" w:sz="4" w:space="0" w:color="auto"/>
              <w:bottom w:val="single" w:sz="4" w:space="0" w:color="auto"/>
            </w:tcBorders>
            <w:vAlign w:val="center"/>
          </w:tcPr>
          <w:p w14:paraId="5A4DCE9A" w14:textId="77777777" w:rsidR="003766DA" w:rsidRPr="00B6250F" w:rsidRDefault="003766DA" w:rsidP="00AF1FD4">
            <w:pPr>
              <w:pStyle w:val="NoSpacing"/>
              <w:jc w:val="center"/>
              <w:rPr>
                <w:rFonts w:cstheme="majorBidi"/>
                <w:b/>
                <w:bCs/>
                <w:sz w:val="20"/>
                <w:szCs w:val="20"/>
              </w:rPr>
            </w:pPr>
            <w:r w:rsidRPr="00B6250F">
              <w:rPr>
                <w:rFonts w:cstheme="majorBidi"/>
                <w:b/>
                <w:bCs/>
                <w:sz w:val="20"/>
                <w:szCs w:val="20"/>
              </w:rPr>
              <w:t>493,951</w:t>
            </w:r>
          </w:p>
        </w:tc>
        <w:tc>
          <w:tcPr>
            <w:tcW w:w="1642" w:type="dxa"/>
            <w:tcBorders>
              <w:top w:val="single" w:sz="4" w:space="0" w:color="auto"/>
              <w:bottom w:val="single" w:sz="4" w:space="0" w:color="auto"/>
            </w:tcBorders>
            <w:vAlign w:val="center"/>
          </w:tcPr>
          <w:p w14:paraId="75FBCB0D" w14:textId="77777777" w:rsidR="003766DA" w:rsidRPr="00B6250F" w:rsidRDefault="003766DA" w:rsidP="00AF1FD4">
            <w:pPr>
              <w:pStyle w:val="NoSpacing"/>
              <w:jc w:val="center"/>
              <w:rPr>
                <w:rFonts w:cstheme="majorBidi"/>
                <w:b/>
                <w:bCs/>
                <w:sz w:val="20"/>
                <w:szCs w:val="20"/>
              </w:rPr>
            </w:pPr>
            <w:r w:rsidRPr="00B6250F">
              <w:rPr>
                <w:rFonts w:cstheme="majorBidi"/>
                <w:b/>
                <w:bCs/>
                <w:sz w:val="20"/>
                <w:szCs w:val="20"/>
              </w:rPr>
              <w:t>493,951</w:t>
            </w:r>
          </w:p>
        </w:tc>
      </w:tr>
    </w:tbl>
    <w:p w14:paraId="20B1CA29" w14:textId="77777777" w:rsidR="003766DA" w:rsidRPr="002B7FA6" w:rsidRDefault="003766DA" w:rsidP="003766DA">
      <w:pPr>
        <w:pStyle w:val="ParaText"/>
      </w:pPr>
    </w:p>
    <w:p w14:paraId="5FA55A10" w14:textId="77777777" w:rsidR="003766DA" w:rsidRPr="00197484" w:rsidRDefault="003766DA" w:rsidP="003766DA">
      <w:pPr>
        <w:pStyle w:val="Heading4"/>
        <w:numPr>
          <w:ilvl w:val="0"/>
          <w:numId w:val="0"/>
        </w:numPr>
        <w:ind w:left="1134" w:hanging="1134"/>
        <w:rPr>
          <w:bCs/>
        </w:rPr>
      </w:pPr>
      <w:r>
        <w:t>City Measure 3: Solar Installations in Cambridge</w:t>
      </w:r>
    </w:p>
    <w:p w14:paraId="657D097A" w14:textId="77777777" w:rsidR="003766DA" w:rsidRDefault="003766DA" w:rsidP="003766DA">
      <w:pPr>
        <w:pStyle w:val="ParaText"/>
        <w:rPr>
          <w:b/>
          <w:bCs/>
        </w:rPr>
      </w:pPr>
    </w:p>
    <w:p w14:paraId="08E17C38" w14:textId="77777777" w:rsidR="003766DA" w:rsidRPr="00443430" w:rsidRDefault="003766DA" w:rsidP="003766DA">
      <w:pPr>
        <w:pStyle w:val="ParaText"/>
        <w:rPr>
          <w:rFonts w:cs="Arial"/>
          <w:b/>
          <w:bCs/>
        </w:rPr>
      </w:pPr>
      <w:r w:rsidRPr="00A73F40">
        <w:rPr>
          <w:b/>
          <w:bCs/>
        </w:rPr>
        <w:t xml:space="preserve">Description of </w:t>
      </w:r>
      <w:r>
        <w:rPr>
          <w:b/>
          <w:bCs/>
        </w:rPr>
        <w:t>Measure</w:t>
      </w:r>
      <w:r w:rsidRPr="00A73F40">
        <w:rPr>
          <w:b/>
          <w:bCs/>
        </w:rPr>
        <w:t xml:space="preserve">: </w:t>
      </w:r>
      <w:r w:rsidRPr="007D5A53">
        <w:rPr>
          <w:lang w:val="en-GB"/>
        </w:rPr>
        <w:t>Cambridge has adopted a target of 60 MW of installed solar capacity in the community by 2020 and 160 MW of installed solar capacity in the community by 2040.</w:t>
      </w:r>
    </w:p>
    <w:p w14:paraId="4D671D3A" w14:textId="3900CA50" w:rsidR="003766DA" w:rsidRPr="00A345F2" w:rsidRDefault="003766DA" w:rsidP="003766DA">
      <w:pPr>
        <w:pStyle w:val="ParaText"/>
      </w:pPr>
      <w:r w:rsidRPr="00A73F40">
        <w:rPr>
          <w:b/>
          <w:bCs/>
        </w:rPr>
        <w:t xml:space="preserve">Methodology for Quantifying </w:t>
      </w:r>
      <w:r>
        <w:rPr>
          <w:b/>
          <w:bCs/>
        </w:rPr>
        <w:t xml:space="preserve">Measure: </w:t>
      </w:r>
      <w:r w:rsidRPr="003766DA">
        <w:rPr>
          <w:b/>
          <w:bCs/>
          <w:sz w:val="24"/>
        </w:rPr>
        <w:fldChar w:fldCharType="begin"/>
      </w:r>
      <w:r w:rsidRPr="003766DA">
        <w:rPr>
          <w:b/>
          <w:bCs/>
          <w:sz w:val="24"/>
        </w:rPr>
        <w:instrText xml:space="preserve"> REF _Ref477446657 \h </w:instrText>
      </w:r>
      <w:r>
        <w:rPr>
          <w:b/>
          <w:bCs/>
          <w:sz w:val="24"/>
        </w:rPr>
        <w:instrText xml:space="preserve"> \* MERGEFORMAT </w:instrText>
      </w:r>
      <w:r w:rsidRPr="003766DA">
        <w:rPr>
          <w:b/>
          <w:bCs/>
          <w:sz w:val="24"/>
        </w:rPr>
      </w:r>
      <w:r w:rsidRPr="003766DA">
        <w:rPr>
          <w:b/>
          <w:bCs/>
          <w:sz w:val="24"/>
        </w:rPr>
        <w:fldChar w:fldCharType="separate"/>
      </w:r>
      <w:r w:rsidR="004537D3" w:rsidRPr="004537D3">
        <w:t xml:space="preserve">Table </w:t>
      </w:r>
      <w:r w:rsidR="004537D3" w:rsidRPr="004537D3">
        <w:rPr>
          <w:noProof/>
        </w:rPr>
        <w:t>23</w:t>
      </w:r>
      <w:r w:rsidRPr="003766DA">
        <w:rPr>
          <w:b/>
          <w:bCs/>
          <w:sz w:val="24"/>
        </w:rPr>
        <w:fldChar w:fldCharType="end"/>
      </w:r>
      <w:r w:rsidRPr="003766DA">
        <w:rPr>
          <w:b/>
          <w:bCs/>
          <w:sz w:val="24"/>
        </w:rPr>
        <w:t xml:space="preserve"> </w:t>
      </w:r>
      <w:r>
        <w:t xml:space="preserve">below summarizes the estimated emissions avoided for each forecast year resulting from City Measure 3. The interim target of 110 MW of solar capacity installed in Cambridge by 2030 was determined by taking the average of the targets for 2020 (60 MW) and 2040 (160 MW). Since there is no establish target for installed solar capacity beyond 2040, the 2040 target (160 MW) is assumed to hold constant for 2050. A Boston-specific solar capacity of 1,321,000 kWh of electricity generated per MW of installed solar capacity was provided by NREL’s </w:t>
      </w:r>
      <w:proofErr w:type="spellStart"/>
      <w:r>
        <w:t>PVWatts</w:t>
      </w:r>
      <w:proofErr w:type="spellEnd"/>
      <w:r>
        <w:t xml:space="preserve"> tool. Since it is difficult to project future improvements in solar potential, a conservative approach was taken assuming a constant solar potential of 1,321,000 kWh generated per installed MW of solar PV per year. Using the installed solar capacity resulting from the policy and the average solar potential, the annual solar electricity generation was calculated. Since the electricity emission factor of the electricity grid is decreasing over time (see RPS analysis above), the marginal avoided emissions from electricity generated by solar PV decreases over time. The emissions avoided from the RPS have already been accounted for under State measures. </w:t>
      </w:r>
      <w:r w:rsidRPr="00327D1C">
        <w:t xml:space="preserve">Thus, the avoided emissions calculations for City Measure 3 factor in the decreased </w:t>
      </w:r>
      <w:r w:rsidRPr="00327D1C">
        <w:lastRenderedPageBreak/>
        <w:t>grid electricity emission factor over time to avoid double counting the avoided emissions impact of the RPS.</w:t>
      </w:r>
      <w:r>
        <w:t xml:space="preserve"> </w:t>
      </w:r>
    </w:p>
    <w:p w14:paraId="07D90C58" w14:textId="6E5E2E42" w:rsidR="003766DA" w:rsidRPr="003766DA" w:rsidRDefault="003766DA" w:rsidP="003766DA">
      <w:pPr>
        <w:pStyle w:val="Caption"/>
        <w:rPr>
          <w:b w:val="0"/>
          <w:bCs w:val="0"/>
          <w:sz w:val="20"/>
        </w:rPr>
      </w:pPr>
      <w:bookmarkStart w:id="66" w:name="_Ref477446657"/>
      <w:r w:rsidRPr="003766DA">
        <w:rPr>
          <w:sz w:val="20"/>
        </w:rPr>
        <w:t xml:space="preserve">Table </w:t>
      </w:r>
      <w:r w:rsidRPr="003766DA">
        <w:rPr>
          <w:sz w:val="20"/>
        </w:rPr>
        <w:fldChar w:fldCharType="begin"/>
      </w:r>
      <w:r w:rsidRPr="003766DA">
        <w:rPr>
          <w:sz w:val="20"/>
        </w:rPr>
        <w:instrText xml:space="preserve"> SEQ Table \* ARABIC </w:instrText>
      </w:r>
      <w:r w:rsidRPr="003766DA">
        <w:rPr>
          <w:sz w:val="20"/>
        </w:rPr>
        <w:fldChar w:fldCharType="separate"/>
      </w:r>
      <w:r w:rsidR="00AD4785">
        <w:rPr>
          <w:noProof/>
          <w:sz w:val="20"/>
        </w:rPr>
        <w:t>23</w:t>
      </w:r>
      <w:r w:rsidRPr="003766DA">
        <w:rPr>
          <w:sz w:val="20"/>
        </w:rPr>
        <w:fldChar w:fldCharType="end"/>
      </w:r>
      <w:bookmarkEnd w:id="66"/>
      <w:r w:rsidRPr="003766DA">
        <w:rPr>
          <w:sz w:val="20"/>
        </w:rPr>
        <w:t>: Summary of Emissions Avoided from Solar Installations in Cambridge</w:t>
      </w:r>
    </w:p>
    <w:tbl>
      <w:tblPr>
        <w:tblW w:w="9576"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738"/>
        <w:gridCol w:w="1767"/>
        <w:gridCol w:w="1923"/>
        <w:gridCol w:w="1612"/>
        <w:gridCol w:w="1988"/>
        <w:gridCol w:w="1548"/>
      </w:tblGrid>
      <w:tr w:rsidR="003766DA" w:rsidRPr="001F5582" w14:paraId="37AE19FC" w14:textId="77777777" w:rsidTr="00AF1FD4">
        <w:trPr>
          <w:trHeight w:val="711"/>
          <w:jc w:val="center"/>
        </w:trPr>
        <w:tc>
          <w:tcPr>
            <w:tcW w:w="738" w:type="dxa"/>
            <w:tcBorders>
              <w:top w:val="single" w:sz="4" w:space="0" w:color="auto"/>
              <w:bottom w:val="single" w:sz="4" w:space="0" w:color="auto"/>
            </w:tcBorders>
            <w:shd w:val="clear" w:color="auto" w:fill="548DD4" w:themeFill="text2" w:themeFillTint="99"/>
            <w:vAlign w:val="center"/>
          </w:tcPr>
          <w:p w14:paraId="2CBB5061" w14:textId="77777777" w:rsidR="003766DA" w:rsidRPr="003A51F5"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Year</w:t>
            </w:r>
          </w:p>
        </w:tc>
        <w:tc>
          <w:tcPr>
            <w:tcW w:w="1767" w:type="dxa"/>
            <w:tcBorders>
              <w:top w:val="single" w:sz="4" w:space="0" w:color="auto"/>
              <w:bottom w:val="single" w:sz="4" w:space="0" w:color="auto"/>
            </w:tcBorders>
            <w:shd w:val="clear" w:color="auto" w:fill="548DD4" w:themeFill="text2" w:themeFillTint="99"/>
            <w:vAlign w:val="center"/>
          </w:tcPr>
          <w:p w14:paraId="29076CDC" w14:textId="77777777" w:rsidR="003766DA" w:rsidRPr="003A51F5"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Solar Capacity Installed (MW)</w:t>
            </w:r>
          </w:p>
        </w:tc>
        <w:tc>
          <w:tcPr>
            <w:tcW w:w="1923" w:type="dxa"/>
            <w:tcBorders>
              <w:top w:val="single" w:sz="4" w:space="0" w:color="auto"/>
              <w:bottom w:val="single" w:sz="4" w:space="0" w:color="auto"/>
            </w:tcBorders>
            <w:shd w:val="clear" w:color="auto" w:fill="548DD4" w:themeFill="text2" w:themeFillTint="99"/>
            <w:vAlign w:val="center"/>
          </w:tcPr>
          <w:p w14:paraId="1CE802AD" w14:textId="77777777" w:rsidR="003766DA"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 xml:space="preserve">Average Solar Potential </w:t>
            </w:r>
          </w:p>
          <w:p w14:paraId="0BBB56A8" w14:textId="77777777" w:rsidR="003766DA" w:rsidRPr="003A51F5"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(kWh / MW / Year)</w:t>
            </w:r>
          </w:p>
        </w:tc>
        <w:tc>
          <w:tcPr>
            <w:tcW w:w="1612" w:type="dxa"/>
            <w:tcBorders>
              <w:top w:val="single" w:sz="4" w:space="0" w:color="auto"/>
              <w:bottom w:val="single" w:sz="4" w:space="0" w:color="auto"/>
            </w:tcBorders>
            <w:shd w:val="clear" w:color="auto" w:fill="548DD4" w:themeFill="text2" w:themeFillTint="99"/>
            <w:vAlign w:val="center"/>
          </w:tcPr>
          <w:p w14:paraId="2CF81A2A" w14:textId="77777777" w:rsidR="003766DA"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 xml:space="preserve">Electricity Generated from Solar Capacity Installed </w:t>
            </w:r>
          </w:p>
          <w:p w14:paraId="45107A66" w14:textId="77777777" w:rsidR="003766DA" w:rsidRPr="003A51F5"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(kWh / Year)</w:t>
            </w:r>
          </w:p>
        </w:tc>
        <w:tc>
          <w:tcPr>
            <w:tcW w:w="1988" w:type="dxa"/>
            <w:tcBorders>
              <w:top w:val="single" w:sz="4" w:space="0" w:color="auto"/>
              <w:bottom w:val="single" w:sz="4" w:space="0" w:color="auto"/>
            </w:tcBorders>
            <w:shd w:val="clear" w:color="auto" w:fill="548DD4" w:themeFill="text2" w:themeFillTint="99"/>
            <w:vAlign w:val="center"/>
          </w:tcPr>
          <w:p w14:paraId="24347D4A" w14:textId="77777777" w:rsidR="003766DA"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 xml:space="preserve">Grid Electricity Emission Factor </w:t>
            </w:r>
          </w:p>
          <w:p w14:paraId="0CB73862" w14:textId="77777777" w:rsidR="003766DA" w:rsidRPr="003A51F5" w:rsidRDefault="003766DA" w:rsidP="00AF1FD4">
            <w:pPr>
              <w:pStyle w:val="NoSpacing"/>
              <w:jc w:val="center"/>
              <w:rPr>
                <w:rFonts w:cstheme="majorBidi"/>
                <w:b/>
                <w:bCs/>
                <w:color w:val="FFFFFF" w:themeColor="background1"/>
                <w:sz w:val="20"/>
                <w:szCs w:val="20"/>
              </w:rPr>
            </w:pPr>
            <w:r w:rsidRPr="003A51F5">
              <w:rPr>
                <w:rFonts w:cstheme="majorBidi"/>
                <w:b/>
                <w:bCs/>
                <w:color w:val="FFFFFF" w:themeColor="background1"/>
                <w:sz w:val="20"/>
                <w:szCs w:val="20"/>
              </w:rPr>
              <w:t>(MT CO2e / kWh)</w:t>
            </w:r>
          </w:p>
        </w:tc>
        <w:tc>
          <w:tcPr>
            <w:tcW w:w="1548" w:type="dxa"/>
            <w:tcBorders>
              <w:top w:val="single" w:sz="4" w:space="0" w:color="auto"/>
              <w:bottom w:val="single" w:sz="4" w:space="0" w:color="auto"/>
            </w:tcBorders>
            <w:shd w:val="clear" w:color="auto" w:fill="548DD4" w:themeFill="text2" w:themeFillTint="99"/>
            <w:vAlign w:val="center"/>
          </w:tcPr>
          <w:p w14:paraId="6BFAB96D"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 xml:space="preserve">Emissions Avoided </w:t>
            </w:r>
          </w:p>
          <w:p w14:paraId="0CA882C9" w14:textId="77777777" w:rsidR="003766DA" w:rsidRPr="001F5582"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(MT CO2e)</w:t>
            </w:r>
          </w:p>
        </w:tc>
      </w:tr>
      <w:tr w:rsidR="003766DA" w:rsidRPr="001F5582" w14:paraId="6CE144BE" w14:textId="77777777" w:rsidTr="00AF1FD4">
        <w:trPr>
          <w:trHeight w:val="326"/>
          <w:jc w:val="center"/>
        </w:trPr>
        <w:tc>
          <w:tcPr>
            <w:tcW w:w="738" w:type="dxa"/>
            <w:tcBorders>
              <w:top w:val="single" w:sz="4" w:space="0" w:color="auto"/>
              <w:bottom w:val="single" w:sz="4" w:space="0" w:color="auto"/>
            </w:tcBorders>
            <w:vAlign w:val="center"/>
          </w:tcPr>
          <w:p w14:paraId="2D279E88" w14:textId="77777777" w:rsidR="003766DA" w:rsidRPr="001F5582" w:rsidRDefault="003766DA" w:rsidP="00AF1FD4">
            <w:pPr>
              <w:pStyle w:val="NoSpacing"/>
              <w:jc w:val="center"/>
              <w:rPr>
                <w:rFonts w:cstheme="majorBidi"/>
                <w:sz w:val="20"/>
                <w:szCs w:val="20"/>
              </w:rPr>
            </w:pPr>
            <w:r>
              <w:rPr>
                <w:rFonts w:cstheme="majorBidi"/>
                <w:sz w:val="20"/>
                <w:szCs w:val="20"/>
              </w:rPr>
              <w:t>2030</w:t>
            </w:r>
          </w:p>
        </w:tc>
        <w:tc>
          <w:tcPr>
            <w:tcW w:w="1767" w:type="dxa"/>
            <w:tcBorders>
              <w:top w:val="single" w:sz="4" w:space="0" w:color="auto"/>
              <w:bottom w:val="single" w:sz="4" w:space="0" w:color="auto"/>
            </w:tcBorders>
            <w:vAlign w:val="center"/>
          </w:tcPr>
          <w:p w14:paraId="63F993E8" w14:textId="77777777" w:rsidR="003766DA" w:rsidRPr="001F5582" w:rsidRDefault="003766DA" w:rsidP="00AF1FD4">
            <w:pPr>
              <w:pStyle w:val="NoSpacing"/>
              <w:jc w:val="center"/>
              <w:rPr>
                <w:rFonts w:cstheme="majorBidi"/>
                <w:sz w:val="20"/>
                <w:szCs w:val="20"/>
              </w:rPr>
            </w:pPr>
            <w:r>
              <w:rPr>
                <w:rFonts w:cstheme="majorBidi"/>
                <w:sz w:val="20"/>
                <w:szCs w:val="20"/>
              </w:rPr>
              <w:t>110</w:t>
            </w:r>
          </w:p>
        </w:tc>
        <w:tc>
          <w:tcPr>
            <w:tcW w:w="1923" w:type="dxa"/>
            <w:tcBorders>
              <w:top w:val="single" w:sz="4" w:space="0" w:color="auto"/>
              <w:bottom w:val="single" w:sz="4" w:space="0" w:color="auto"/>
            </w:tcBorders>
            <w:vAlign w:val="center"/>
          </w:tcPr>
          <w:p w14:paraId="78AC1693" w14:textId="77777777" w:rsidR="003766DA" w:rsidRDefault="003766DA" w:rsidP="00AF1FD4">
            <w:pPr>
              <w:pStyle w:val="NoSpacing"/>
              <w:jc w:val="center"/>
              <w:rPr>
                <w:rFonts w:cstheme="majorBidi"/>
                <w:sz w:val="20"/>
                <w:szCs w:val="20"/>
              </w:rPr>
            </w:pPr>
            <w:r>
              <w:rPr>
                <w:rFonts w:cstheme="majorBidi"/>
                <w:sz w:val="20"/>
                <w:szCs w:val="20"/>
              </w:rPr>
              <w:t>1,321,000</w:t>
            </w:r>
          </w:p>
        </w:tc>
        <w:tc>
          <w:tcPr>
            <w:tcW w:w="1612" w:type="dxa"/>
            <w:tcBorders>
              <w:top w:val="single" w:sz="4" w:space="0" w:color="auto"/>
              <w:bottom w:val="single" w:sz="4" w:space="0" w:color="auto"/>
            </w:tcBorders>
            <w:vAlign w:val="center"/>
          </w:tcPr>
          <w:p w14:paraId="7CEB09CC" w14:textId="77777777" w:rsidR="003766DA" w:rsidRPr="001F5582" w:rsidRDefault="003766DA" w:rsidP="00AF1FD4">
            <w:pPr>
              <w:pStyle w:val="NoSpacing"/>
              <w:jc w:val="center"/>
              <w:rPr>
                <w:rFonts w:cstheme="majorBidi"/>
                <w:sz w:val="20"/>
                <w:szCs w:val="20"/>
              </w:rPr>
            </w:pPr>
            <w:r>
              <w:rPr>
                <w:rFonts w:cstheme="majorBidi"/>
                <w:sz w:val="20"/>
                <w:szCs w:val="20"/>
              </w:rPr>
              <w:t>145,310,000</w:t>
            </w:r>
          </w:p>
        </w:tc>
        <w:tc>
          <w:tcPr>
            <w:tcW w:w="1988" w:type="dxa"/>
            <w:tcBorders>
              <w:top w:val="single" w:sz="4" w:space="0" w:color="auto"/>
              <w:bottom w:val="single" w:sz="4" w:space="0" w:color="auto"/>
            </w:tcBorders>
            <w:vAlign w:val="center"/>
          </w:tcPr>
          <w:p w14:paraId="5FE3D5D0" w14:textId="77777777" w:rsidR="003766DA" w:rsidRDefault="003766DA" w:rsidP="00AF1FD4">
            <w:pPr>
              <w:pStyle w:val="NoSpacing"/>
              <w:jc w:val="center"/>
              <w:rPr>
                <w:rFonts w:cstheme="majorBidi"/>
                <w:sz w:val="20"/>
                <w:szCs w:val="20"/>
              </w:rPr>
            </w:pPr>
            <w:r>
              <w:rPr>
                <w:rFonts w:cstheme="majorBidi"/>
                <w:sz w:val="20"/>
                <w:szCs w:val="20"/>
              </w:rPr>
              <w:t>0.00026</w:t>
            </w:r>
          </w:p>
        </w:tc>
        <w:tc>
          <w:tcPr>
            <w:tcW w:w="1548" w:type="dxa"/>
            <w:tcBorders>
              <w:top w:val="single" w:sz="4" w:space="0" w:color="auto"/>
              <w:bottom w:val="single" w:sz="4" w:space="0" w:color="auto"/>
            </w:tcBorders>
            <w:vAlign w:val="center"/>
          </w:tcPr>
          <w:p w14:paraId="428E6C65" w14:textId="77777777" w:rsidR="003766DA" w:rsidRPr="001F5582" w:rsidRDefault="003766DA" w:rsidP="00AF1FD4">
            <w:pPr>
              <w:pStyle w:val="NoSpacing"/>
              <w:jc w:val="center"/>
              <w:rPr>
                <w:rFonts w:cstheme="majorBidi"/>
                <w:sz w:val="20"/>
                <w:szCs w:val="20"/>
              </w:rPr>
            </w:pPr>
            <w:r>
              <w:rPr>
                <w:rFonts w:cstheme="majorBidi"/>
                <w:sz w:val="20"/>
                <w:szCs w:val="20"/>
              </w:rPr>
              <w:t>38,315</w:t>
            </w:r>
          </w:p>
        </w:tc>
      </w:tr>
      <w:tr w:rsidR="003766DA" w:rsidRPr="001F5582" w14:paraId="56838FD3" w14:textId="77777777" w:rsidTr="00AF1FD4">
        <w:trPr>
          <w:trHeight w:val="326"/>
          <w:jc w:val="center"/>
        </w:trPr>
        <w:tc>
          <w:tcPr>
            <w:tcW w:w="738" w:type="dxa"/>
            <w:tcBorders>
              <w:top w:val="single" w:sz="4" w:space="0" w:color="auto"/>
              <w:bottom w:val="single" w:sz="4" w:space="0" w:color="auto"/>
            </w:tcBorders>
            <w:vAlign w:val="center"/>
          </w:tcPr>
          <w:p w14:paraId="19171600" w14:textId="77777777" w:rsidR="003766DA" w:rsidRPr="001F5582" w:rsidRDefault="003766DA" w:rsidP="00AF1FD4">
            <w:pPr>
              <w:pStyle w:val="NoSpacing"/>
              <w:jc w:val="center"/>
              <w:rPr>
                <w:rFonts w:cstheme="majorBidi"/>
                <w:sz w:val="20"/>
                <w:szCs w:val="20"/>
              </w:rPr>
            </w:pPr>
            <w:r>
              <w:rPr>
                <w:rFonts w:cstheme="majorBidi"/>
                <w:sz w:val="20"/>
                <w:szCs w:val="20"/>
              </w:rPr>
              <w:t>2040</w:t>
            </w:r>
          </w:p>
        </w:tc>
        <w:tc>
          <w:tcPr>
            <w:tcW w:w="1767" w:type="dxa"/>
            <w:tcBorders>
              <w:top w:val="single" w:sz="4" w:space="0" w:color="auto"/>
              <w:bottom w:val="single" w:sz="4" w:space="0" w:color="auto"/>
            </w:tcBorders>
            <w:vAlign w:val="center"/>
          </w:tcPr>
          <w:p w14:paraId="25B3C3E9" w14:textId="77777777" w:rsidR="003766DA" w:rsidRPr="001F5582" w:rsidRDefault="003766DA" w:rsidP="00AF1FD4">
            <w:pPr>
              <w:pStyle w:val="NoSpacing"/>
              <w:jc w:val="center"/>
              <w:rPr>
                <w:rFonts w:cstheme="majorBidi"/>
                <w:sz w:val="20"/>
                <w:szCs w:val="20"/>
              </w:rPr>
            </w:pPr>
            <w:r>
              <w:rPr>
                <w:rFonts w:cstheme="majorBidi"/>
                <w:sz w:val="20"/>
                <w:szCs w:val="20"/>
              </w:rPr>
              <w:t>160</w:t>
            </w:r>
          </w:p>
        </w:tc>
        <w:tc>
          <w:tcPr>
            <w:tcW w:w="1923" w:type="dxa"/>
            <w:tcBorders>
              <w:top w:val="single" w:sz="4" w:space="0" w:color="auto"/>
              <w:bottom w:val="single" w:sz="4" w:space="0" w:color="auto"/>
            </w:tcBorders>
            <w:vAlign w:val="center"/>
          </w:tcPr>
          <w:p w14:paraId="7C6F872D" w14:textId="77777777" w:rsidR="003766DA" w:rsidRDefault="003766DA" w:rsidP="00AF1FD4">
            <w:pPr>
              <w:pStyle w:val="NoSpacing"/>
              <w:jc w:val="center"/>
              <w:rPr>
                <w:rFonts w:cstheme="majorBidi"/>
                <w:sz w:val="20"/>
                <w:szCs w:val="20"/>
              </w:rPr>
            </w:pPr>
            <w:r>
              <w:rPr>
                <w:rFonts w:cstheme="majorBidi"/>
                <w:sz w:val="20"/>
                <w:szCs w:val="20"/>
              </w:rPr>
              <w:t>1,321,000</w:t>
            </w:r>
          </w:p>
        </w:tc>
        <w:tc>
          <w:tcPr>
            <w:tcW w:w="1612" w:type="dxa"/>
            <w:tcBorders>
              <w:top w:val="single" w:sz="4" w:space="0" w:color="auto"/>
              <w:bottom w:val="single" w:sz="4" w:space="0" w:color="auto"/>
            </w:tcBorders>
            <w:vAlign w:val="center"/>
          </w:tcPr>
          <w:p w14:paraId="5DA1B8C4" w14:textId="77777777" w:rsidR="003766DA" w:rsidRPr="001F5582" w:rsidRDefault="003766DA" w:rsidP="00AF1FD4">
            <w:pPr>
              <w:pStyle w:val="NoSpacing"/>
              <w:jc w:val="center"/>
              <w:rPr>
                <w:rFonts w:cstheme="majorBidi"/>
                <w:sz w:val="20"/>
                <w:szCs w:val="20"/>
              </w:rPr>
            </w:pPr>
            <w:r>
              <w:rPr>
                <w:rFonts w:cstheme="majorBidi"/>
                <w:sz w:val="20"/>
                <w:szCs w:val="20"/>
              </w:rPr>
              <w:t>211,360,000</w:t>
            </w:r>
          </w:p>
        </w:tc>
        <w:tc>
          <w:tcPr>
            <w:tcW w:w="1988" w:type="dxa"/>
            <w:tcBorders>
              <w:top w:val="single" w:sz="4" w:space="0" w:color="auto"/>
              <w:bottom w:val="single" w:sz="4" w:space="0" w:color="auto"/>
            </w:tcBorders>
            <w:vAlign w:val="center"/>
          </w:tcPr>
          <w:p w14:paraId="203A14F1" w14:textId="77777777" w:rsidR="003766DA" w:rsidRDefault="003766DA" w:rsidP="00AF1FD4">
            <w:pPr>
              <w:pStyle w:val="NoSpacing"/>
              <w:jc w:val="center"/>
              <w:rPr>
                <w:rFonts w:cstheme="majorBidi"/>
                <w:sz w:val="20"/>
                <w:szCs w:val="20"/>
              </w:rPr>
            </w:pPr>
            <w:r>
              <w:rPr>
                <w:rFonts w:cstheme="majorBidi"/>
                <w:sz w:val="20"/>
                <w:szCs w:val="20"/>
              </w:rPr>
              <w:t>0.00023</w:t>
            </w:r>
          </w:p>
        </w:tc>
        <w:tc>
          <w:tcPr>
            <w:tcW w:w="1548" w:type="dxa"/>
            <w:tcBorders>
              <w:top w:val="single" w:sz="4" w:space="0" w:color="auto"/>
              <w:bottom w:val="single" w:sz="4" w:space="0" w:color="auto"/>
            </w:tcBorders>
            <w:vAlign w:val="center"/>
          </w:tcPr>
          <w:p w14:paraId="6F421DF1" w14:textId="77777777" w:rsidR="003766DA" w:rsidRPr="001F5582" w:rsidRDefault="003766DA" w:rsidP="00AF1FD4">
            <w:pPr>
              <w:pStyle w:val="NoSpacing"/>
              <w:jc w:val="center"/>
              <w:rPr>
                <w:rFonts w:cstheme="majorBidi"/>
                <w:sz w:val="20"/>
                <w:szCs w:val="20"/>
              </w:rPr>
            </w:pPr>
            <w:r>
              <w:rPr>
                <w:rFonts w:cstheme="majorBidi"/>
                <w:sz w:val="20"/>
                <w:szCs w:val="20"/>
              </w:rPr>
              <w:t>47,651</w:t>
            </w:r>
          </w:p>
        </w:tc>
      </w:tr>
      <w:tr w:rsidR="003766DA" w:rsidRPr="001F5582" w14:paraId="1F0A77ED" w14:textId="77777777" w:rsidTr="00AF1FD4">
        <w:trPr>
          <w:trHeight w:val="326"/>
          <w:jc w:val="center"/>
        </w:trPr>
        <w:tc>
          <w:tcPr>
            <w:tcW w:w="738" w:type="dxa"/>
            <w:tcBorders>
              <w:top w:val="single" w:sz="4" w:space="0" w:color="auto"/>
              <w:bottom w:val="single" w:sz="4" w:space="0" w:color="auto"/>
            </w:tcBorders>
            <w:vAlign w:val="center"/>
          </w:tcPr>
          <w:p w14:paraId="10317370" w14:textId="77777777" w:rsidR="003766DA" w:rsidRPr="001F5582" w:rsidRDefault="003766DA" w:rsidP="00AF1FD4">
            <w:pPr>
              <w:pStyle w:val="NoSpacing"/>
              <w:jc w:val="center"/>
              <w:rPr>
                <w:rFonts w:cstheme="majorBidi"/>
                <w:sz w:val="20"/>
                <w:szCs w:val="20"/>
              </w:rPr>
            </w:pPr>
            <w:r>
              <w:rPr>
                <w:rFonts w:cstheme="majorBidi"/>
                <w:sz w:val="20"/>
                <w:szCs w:val="20"/>
              </w:rPr>
              <w:t>2050</w:t>
            </w:r>
          </w:p>
        </w:tc>
        <w:tc>
          <w:tcPr>
            <w:tcW w:w="1767" w:type="dxa"/>
            <w:tcBorders>
              <w:top w:val="single" w:sz="4" w:space="0" w:color="auto"/>
              <w:bottom w:val="single" w:sz="4" w:space="0" w:color="auto"/>
            </w:tcBorders>
            <w:vAlign w:val="center"/>
          </w:tcPr>
          <w:p w14:paraId="542644BC" w14:textId="77777777" w:rsidR="003766DA" w:rsidRPr="001F5582" w:rsidRDefault="003766DA" w:rsidP="00AF1FD4">
            <w:pPr>
              <w:pStyle w:val="NoSpacing"/>
              <w:jc w:val="center"/>
              <w:rPr>
                <w:rFonts w:cstheme="majorBidi"/>
                <w:sz w:val="20"/>
                <w:szCs w:val="20"/>
              </w:rPr>
            </w:pPr>
            <w:r>
              <w:rPr>
                <w:rFonts w:cstheme="majorBidi"/>
                <w:sz w:val="20"/>
                <w:szCs w:val="20"/>
              </w:rPr>
              <w:t>160</w:t>
            </w:r>
          </w:p>
        </w:tc>
        <w:tc>
          <w:tcPr>
            <w:tcW w:w="1923" w:type="dxa"/>
            <w:tcBorders>
              <w:top w:val="single" w:sz="4" w:space="0" w:color="auto"/>
              <w:bottom w:val="single" w:sz="4" w:space="0" w:color="auto"/>
            </w:tcBorders>
            <w:vAlign w:val="center"/>
          </w:tcPr>
          <w:p w14:paraId="5B27D136" w14:textId="77777777" w:rsidR="003766DA" w:rsidRDefault="003766DA" w:rsidP="00AF1FD4">
            <w:pPr>
              <w:pStyle w:val="NoSpacing"/>
              <w:jc w:val="center"/>
              <w:rPr>
                <w:rFonts w:cstheme="majorBidi"/>
                <w:sz w:val="20"/>
                <w:szCs w:val="20"/>
              </w:rPr>
            </w:pPr>
            <w:r>
              <w:rPr>
                <w:rFonts w:cstheme="majorBidi"/>
                <w:sz w:val="20"/>
                <w:szCs w:val="20"/>
              </w:rPr>
              <w:t>1,321,000</w:t>
            </w:r>
          </w:p>
        </w:tc>
        <w:tc>
          <w:tcPr>
            <w:tcW w:w="1612" w:type="dxa"/>
            <w:tcBorders>
              <w:top w:val="single" w:sz="4" w:space="0" w:color="auto"/>
              <w:bottom w:val="single" w:sz="4" w:space="0" w:color="auto"/>
            </w:tcBorders>
            <w:vAlign w:val="center"/>
          </w:tcPr>
          <w:p w14:paraId="2191FA8E" w14:textId="77777777" w:rsidR="003766DA" w:rsidRPr="001F5582" w:rsidRDefault="003766DA" w:rsidP="00AF1FD4">
            <w:pPr>
              <w:pStyle w:val="NoSpacing"/>
              <w:jc w:val="center"/>
              <w:rPr>
                <w:rFonts w:cstheme="majorBidi"/>
                <w:sz w:val="20"/>
                <w:szCs w:val="20"/>
              </w:rPr>
            </w:pPr>
            <w:r>
              <w:rPr>
                <w:rFonts w:cstheme="majorBidi"/>
                <w:sz w:val="20"/>
                <w:szCs w:val="20"/>
              </w:rPr>
              <w:t>211,360,000</w:t>
            </w:r>
          </w:p>
        </w:tc>
        <w:tc>
          <w:tcPr>
            <w:tcW w:w="1988" w:type="dxa"/>
            <w:tcBorders>
              <w:top w:val="single" w:sz="4" w:space="0" w:color="auto"/>
              <w:bottom w:val="single" w:sz="4" w:space="0" w:color="auto"/>
            </w:tcBorders>
            <w:vAlign w:val="center"/>
          </w:tcPr>
          <w:p w14:paraId="7845EFAD" w14:textId="77777777" w:rsidR="003766DA" w:rsidRDefault="003766DA" w:rsidP="00AF1FD4">
            <w:pPr>
              <w:pStyle w:val="NoSpacing"/>
              <w:jc w:val="center"/>
              <w:rPr>
                <w:rFonts w:cstheme="majorBidi"/>
                <w:sz w:val="20"/>
                <w:szCs w:val="20"/>
              </w:rPr>
            </w:pPr>
            <w:r>
              <w:rPr>
                <w:rFonts w:cstheme="majorBidi"/>
                <w:sz w:val="20"/>
                <w:szCs w:val="20"/>
              </w:rPr>
              <w:t>0.00019</w:t>
            </w:r>
          </w:p>
        </w:tc>
        <w:tc>
          <w:tcPr>
            <w:tcW w:w="1548" w:type="dxa"/>
            <w:tcBorders>
              <w:top w:val="single" w:sz="4" w:space="0" w:color="auto"/>
              <w:bottom w:val="single" w:sz="4" w:space="0" w:color="auto"/>
            </w:tcBorders>
            <w:vAlign w:val="center"/>
          </w:tcPr>
          <w:p w14:paraId="2E08B4BD" w14:textId="77777777" w:rsidR="003766DA" w:rsidRPr="001F5582" w:rsidRDefault="003766DA" w:rsidP="00AF1FD4">
            <w:pPr>
              <w:pStyle w:val="NoSpacing"/>
              <w:jc w:val="center"/>
              <w:rPr>
                <w:rFonts w:cstheme="majorBidi"/>
                <w:sz w:val="20"/>
                <w:szCs w:val="20"/>
              </w:rPr>
            </w:pPr>
            <w:r>
              <w:rPr>
                <w:rFonts w:cstheme="majorBidi"/>
                <w:sz w:val="20"/>
                <w:szCs w:val="20"/>
              </w:rPr>
              <w:t>39,570</w:t>
            </w:r>
          </w:p>
        </w:tc>
      </w:tr>
    </w:tbl>
    <w:p w14:paraId="6FA77A97" w14:textId="77777777" w:rsidR="003766DA" w:rsidRDefault="003766DA" w:rsidP="003766DA">
      <w:pPr>
        <w:pStyle w:val="ParaText"/>
      </w:pPr>
    </w:p>
    <w:p w14:paraId="0716D53D" w14:textId="0624854C" w:rsidR="003766DA" w:rsidRDefault="003766DA" w:rsidP="003766DA">
      <w:pPr>
        <w:pStyle w:val="Heading4"/>
        <w:numPr>
          <w:ilvl w:val="0"/>
          <w:numId w:val="0"/>
        </w:numPr>
        <w:ind w:left="1134" w:hanging="1134"/>
      </w:pPr>
      <w:r>
        <w:t>City Measure</w:t>
      </w:r>
      <w:r w:rsidR="00874142">
        <w:t>s</w:t>
      </w:r>
      <w:r>
        <w:t xml:space="preserve"> 4 and 5: </w:t>
      </w:r>
      <w:r w:rsidRPr="00A65C14">
        <w:t>Reduce Vehicle Miles Travelled by Vehicles Registered in Cambridge</w:t>
      </w:r>
      <w:r>
        <w:t xml:space="preserve"> &amp; Reduce Vehicle Ownership p</w:t>
      </w:r>
      <w:r w:rsidRPr="00900794">
        <w:t>er Household Rate</w:t>
      </w:r>
    </w:p>
    <w:p w14:paraId="11FF4BAC" w14:textId="77777777" w:rsidR="003766DA" w:rsidRDefault="003766DA" w:rsidP="003766DA">
      <w:pPr>
        <w:pStyle w:val="BodyText"/>
      </w:pPr>
    </w:p>
    <w:p w14:paraId="0A06B60B" w14:textId="77777777" w:rsidR="003766DA" w:rsidRPr="00443430" w:rsidRDefault="003766DA" w:rsidP="003766DA">
      <w:pPr>
        <w:pStyle w:val="ParaText"/>
        <w:rPr>
          <w:rFonts w:cs="Arial"/>
          <w:b/>
          <w:bCs/>
        </w:rPr>
      </w:pPr>
      <w:r w:rsidRPr="00A73F40">
        <w:rPr>
          <w:b/>
          <w:bCs/>
        </w:rPr>
        <w:t xml:space="preserve">Description of </w:t>
      </w:r>
      <w:r>
        <w:rPr>
          <w:b/>
          <w:bCs/>
        </w:rPr>
        <w:t xml:space="preserve">Measure: </w:t>
      </w:r>
      <w:r w:rsidRPr="00A65C14">
        <w:t>Cambridge has adopted a target of reducing community VMT 5% below 2010 levels by 2020.</w:t>
      </w:r>
      <w:r>
        <w:t xml:space="preserve"> </w:t>
      </w:r>
      <w:r w:rsidRPr="00900794">
        <w:t xml:space="preserve">Cambridge has </w:t>
      </w:r>
      <w:r>
        <w:t xml:space="preserve">also </w:t>
      </w:r>
      <w:r w:rsidRPr="00900794">
        <w:t xml:space="preserve">adopted a target of reducing community vehicle ownership per household 15% below </w:t>
      </w:r>
      <w:r>
        <w:t>1990</w:t>
      </w:r>
      <w:r w:rsidRPr="00900794">
        <w:t xml:space="preserve"> levels by 2020.</w:t>
      </w:r>
    </w:p>
    <w:p w14:paraId="3E826C15" w14:textId="77777777" w:rsidR="003766DA" w:rsidRPr="00900794" w:rsidRDefault="003766DA" w:rsidP="003766DA">
      <w:pPr>
        <w:pStyle w:val="ParaText"/>
      </w:pPr>
      <w:r w:rsidRPr="00A73F40">
        <w:rPr>
          <w:b/>
          <w:bCs/>
        </w:rPr>
        <w:t xml:space="preserve">Methodology for Quantifying </w:t>
      </w:r>
      <w:r>
        <w:rPr>
          <w:b/>
          <w:bCs/>
        </w:rPr>
        <w:t xml:space="preserve">Measure: </w:t>
      </w:r>
      <w:r w:rsidRPr="00900794">
        <w:t xml:space="preserve">Since </w:t>
      </w:r>
      <w:r>
        <w:t xml:space="preserve">City Measure 4 (reduce VMT) and City Measure 5 (reduce vehicle ownership) are closely intertwined, the avoided emissions from each measure were calculated simultaneously. Measure 4 calls for a 5% reduction in community VMT below 2010 levels by 2020 and City Measure 5 calls for a 15% reduction in vehicle ownership per household below 1990 levels by 2020. For City Measure 4, 2010 data on VMT or emissions from vehicles registered in Cambridge was not available, so 2012 data on vehicles registered in Cambridge was used as a proxy. </w:t>
      </w:r>
    </w:p>
    <w:p w14:paraId="2C79424A" w14:textId="0B599095" w:rsidR="003766DA" w:rsidRDefault="003766DA" w:rsidP="003766DA">
      <w:pPr>
        <w:pStyle w:val="ParaText"/>
      </w:pPr>
      <w:r>
        <w:t xml:space="preserve">To estimate the additional future reduction in VMT from Measure 5 (on top of the 5% reduction in VMT associated with Measure 4), the following approach was taken. </w:t>
      </w:r>
      <w:r w:rsidRPr="00A34F9D">
        <w:t>The City considers reaching the MAPC Strong Region level of 0.84 vehicles per household as the equivalent of reaching the 15% reduction in vehicle ownership per household below 1990 levels.</w:t>
      </w:r>
      <w:r w:rsidRPr="009200E6">
        <w:t xml:space="preserve"> Using this assumption, the goal of a 15% reduction in vehicle ownership per household below 1990 levels by 2020 was translated to a goal of 9.3% reduction in vehicle owne</w:t>
      </w:r>
      <w:r>
        <w:t xml:space="preserve">rship below 2012 levels by 2020. </w:t>
      </w:r>
      <w:r w:rsidRPr="009200E6">
        <w:t>2012</w:t>
      </w:r>
      <w:bookmarkStart w:id="67" w:name="_GoBack"/>
      <w:bookmarkEnd w:id="67"/>
      <w:r w:rsidRPr="009200E6">
        <w:t xml:space="preserve"> data on vehicles registered in Cambridge per household provided by MAPC</w:t>
      </w:r>
      <w:r>
        <w:t xml:space="preserve"> was used to translate this target</w:t>
      </w:r>
      <w:r w:rsidRPr="009200E6">
        <w:t xml:space="preserve">. To avoid double counting with </w:t>
      </w:r>
      <w:r>
        <w:t xml:space="preserve">City </w:t>
      </w:r>
      <w:r w:rsidRPr="009200E6">
        <w:t xml:space="preserve">Measure 4, the 5% VMT reduction associated with </w:t>
      </w:r>
      <w:r>
        <w:t xml:space="preserve">City </w:t>
      </w:r>
      <w:r w:rsidRPr="009200E6">
        <w:t>Measure 4</w:t>
      </w:r>
      <w:r>
        <w:t xml:space="preserve"> by 2020</w:t>
      </w:r>
      <w:r w:rsidRPr="009200E6">
        <w:t xml:space="preserve"> was subtracted from the 9.3% </w:t>
      </w:r>
      <w:r>
        <w:t xml:space="preserve">reduction in </w:t>
      </w:r>
      <w:r w:rsidRPr="009200E6">
        <w:t xml:space="preserve">vehicle ownership goal of </w:t>
      </w:r>
      <w:r>
        <w:t xml:space="preserve">City </w:t>
      </w:r>
      <w:r w:rsidRPr="009200E6">
        <w:t>Measure 5 to arrive at 4.3% additional reduction in VMT from Measure 5</w:t>
      </w:r>
      <w:r>
        <w:t xml:space="preserve"> by 2020</w:t>
      </w:r>
      <w:r w:rsidRPr="009200E6">
        <w:t xml:space="preserve">. It was assumed that a 1% decrease in household car ownership in Cambridge translates to a 1% reduction in household VMT in </w:t>
      </w:r>
      <w:r>
        <w:t xml:space="preserve">Cambridge. The result is Measure 4 and Measure 5 </w:t>
      </w:r>
      <w:r>
        <w:lastRenderedPageBreak/>
        <w:t xml:space="preserve">achieving a combined reduction in VMT of 9.3% below 2012 levels by 2020, with Measure 4 being responsible for a 5% reduction in VMT and Measure 5 being responsible for a 4.3% reduction in VMT. Since there is not VMT reduction or vehicle ownership reduction target for a year beyond 2020, it was assumed that the 2020 VMT (9.3% below 2012 levels) would plateau in 2020 and remain constant for forecast years 2030, 2040 and 2050. As </w:t>
      </w:r>
      <w:r w:rsidRPr="003766DA">
        <w:rPr>
          <w:sz w:val="24"/>
        </w:rPr>
        <w:fldChar w:fldCharType="begin"/>
      </w:r>
      <w:r w:rsidRPr="003766DA">
        <w:rPr>
          <w:sz w:val="24"/>
        </w:rPr>
        <w:instrText xml:space="preserve"> REF _Ref477519415 \h </w:instrText>
      </w:r>
      <w:r>
        <w:rPr>
          <w:sz w:val="24"/>
        </w:rPr>
        <w:instrText xml:space="preserve"> \* MERGEFORMAT </w:instrText>
      </w:r>
      <w:r w:rsidRPr="003766DA">
        <w:rPr>
          <w:sz w:val="24"/>
        </w:rPr>
      </w:r>
      <w:r w:rsidRPr="003766DA">
        <w:rPr>
          <w:sz w:val="24"/>
        </w:rPr>
        <w:fldChar w:fldCharType="separate"/>
      </w:r>
      <w:r w:rsidR="004537D3" w:rsidRPr="004537D3">
        <w:t xml:space="preserve">Table </w:t>
      </w:r>
      <w:r w:rsidR="004537D3" w:rsidRPr="004537D3">
        <w:rPr>
          <w:noProof/>
        </w:rPr>
        <w:t>24</w:t>
      </w:r>
      <w:r w:rsidRPr="003766DA">
        <w:rPr>
          <w:sz w:val="24"/>
        </w:rPr>
        <w:fldChar w:fldCharType="end"/>
      </w:r>
      <w:r w:rsidRPr="003766DA">
        <w:rPr>
          <w:sz w:val="24"/>
        </w:rPr>
        <w:t xml:space="preserve"> </w:t>
      </w:r>
      <w:r>
        <w:t xml:space="preserve">summarizes, despite a decreasing emissions rate from 2030-2050 (improved efficiency of vehicles) the emissions avoided from the policy compared to the BAU scenario continue to increase. This is due to the increasing BAU VMT from 2030-2050 (tied to projected increases in households provided by MAPC). </w:t>
      </w:r>
    </w:p>
    <w:p w14:paraId="42F0D07F" w14:textId="060C676B" w:rsidR="003766DA" w:rsidRPr="003766DA" w:rsidRDefault="003766DA" w:rsidP="003766DA">
      <w:pPr>
        <w:pStyle w:val="Caption"/>
        <w:rPr>
          <w:b w:val="0"/>
          <w:bCs w:val="0"/>
          <w:sz w:val="20"/>
        </w:rPr>
      </w:pPr>
      <w:bookmarkStart w:id="68" w:name="_Ref477519415"/>
      <w:r w:rsidRPr="003766DA">
        <w:rPr>
          <w:sz w:val="20"/>
        </w:rPr>
        <w:t xml:space="preserve">Table </w:t>
      </w:r>
      <w:r w:rsidRPr="003766DA">
        <w:rPr>
          <w:sz w:val="20"/>
        </w:rPr>
        <w:fldChar w:fldCharType="begin"/>
      </w:r>
      <w:r w:rsidRPr="003766DA">
        <w:rPr>
          <w:sz w:val="20"/>
        </w:rPr>
        <w:instrText xml:space="preserve"> SEQ Table \* ARABIC </w:instrText>
      </w:r>
      <w:r w:rsidRPr="003766DA">
        <w:rPr>
          <w:sz w:val="20"/>
        </w:rPr>
        <w:fldChar w:fldCharType="separate"/>
      </w:r>
      <w:r w:rsidR="00AD4785">
        <w:rPr>
          <w:noProof/>
          <w:sz w:val="20"/>
        </w:rPr>
        <w:t>24</w:t>
      </w:r>
      <w:r w:rsidRPr="003766DA">
        <w:rPr>
          <w:sz w:val="20"/>
        </w:rPr>
        <w:fldChar w:fldCharType="end"/>
      </w:r>
      <w:bookmarkEnd w:id="68"/>
      <w:r w:rsidRPr="003766DA">
        <w:rPr>
          <w:sz w:val="20"/>
        </w:rPr>
        <w:t>: Summary of Emissions Avoided from Reduction in Vehicle Miles Travelled and Vehicle Ownership per Household</w:t>
      </w:r>
    </w:p>
    <w:tbl>
      <w:tblPr>
        <w:tblW w:w="9303"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72"/>
        <w:gridCol w:w="2107"/>
        <w:gridCol w:w="2108"/>
        <w:gridCol w:w="2108"/>
        <w:gridCol w:w="2108"/>
      </w:tblGrid>
      <w:tr w:rsidR="003766DA" w:rsidRPr="001F5582" w14:paraId="3AF11222" w14:textId="77777777" w:rsidTr="00AF1FD4">
        <w:trPr>
          <w:trHeight w:val="551"/>
          <w:jc w:val="center"/>
        </w:trPr>
        <w:tc>
          <w:tcPr>
            <w:tcW w:w="872" w:type="dxa"/>
            <w:tcBorders>
              <w:top w:val="single" w:sz="4" w:space="0" w:color="auto"/>
              <w:bottom w:val="single" w:sz="4" w:space="0" w:color="auto"/>
            </w:tcBorders>
            <w:shd w:val="clear" w:color="auto" w:fill="548DD4" w:themeFill="text2" w:themeFillTint="99"/>
            <w:vAlign w:val="center"/>
          </w:tcPr>
          <w:p w14:paraId="2B7B7A25"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Year</w:t>
            </w:r>
          </w:p>
          <w:p w14:paraId="3B09A765" w14:textId="77777777" w:rsidR="003766DA" w:rsidRPr="003A51F5" w:rsidRDefault="003766DA" w:rsidP="00AF1FD4">
            <w:pPr>
              <w:pStyle w:val="NoSpacing"/>
              <w:jc w:val="center"/>
              <w:rPr>
                <w:rFonts w:cstheme="majorBidi"/>
                <w:b/>
                <w:bCs/>
                <w:color w:val="FFFFFF" w:themeColor="background1"/>
                <w:sz w:val="20"/>
                <w:szCs w:val="20"/>
              </w:rPr>
            </w:pPr>
          </w:p>
        </w:tc>
        <w:tc>
          <w:tcPr>
            <w:tcW w:w="2107" w:type="dxa"/>
            <w:tcBorders>
              <w:top w:val="single" w:sz="4" w:space="0" w:color="auto"/>
              <w:bottom w:val="single" w:sz="4" w:space="0" w:color="auto"/>
            </w:tcBorders>
            <w:shd w:val="clear" w:color="auto" w:fill="548DD4" w:themeFill="text2" w:themeFillTint="99"/>
            <w:vAlign w:val="center"/>
          </w:tcPr>
          <w:p w14:paraId="7C67B23E"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Business as Usual VMT</w:t>
            </w:r>
          </w:p>
        </w:tc>
        <w:tc>
          <w:tcPr>
            <w:tcW w:w="2108" w:type="dxa"/>
            <w:tcBorders>
              <w:top w:val="single" w:sz="4" w:space="0" w:color="auto"/>
              <w:bottom w:val="single" w:sz="4" w:space="0" w:color="auto"/>
            </w:tcBorders>
            <w:shd w:val="clear" w:color="auto" w:fill="548DD4" w:themeFill="text2" w:themeFillTint="99"/>
            <w:vAlign w:val="center"/>
          </w:tcPr>
          <w:p w14:paraId="312DEB96"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VMT with Measure 4 + Measure 5 in Place</w:t>
            </w:r>
          </w:p>
        </w:tc>
        <w:tc>
          <w:tcPr>
            <w:tcW w:w="2108" w:type="dxa"/>
            <w:tcBorders>
              <w:top w:val="single" w:sz="4" w:space="0" w:color="auto"/>
              <w:bottom w:val="single" w:sz="4" w:space="0" w:color="auto"/>
            </w:tcBorders>
            <w:shd w:val="clear" w:color="auto" w:fill="548DD4" w:themeFill="text2" w:themeFillTint="99"/>
            <w:vAlign w:val="center"/>
          </w:tcPr>
          <w:p w14:paraId="49B3A518"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Vehicle Emissions Rate</w:t>
            </w:r>
          </w:p>
          <w:p w14:paraId="0BD16E20"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(MT CO2e/VMT)</w:t>
            </w:r>
          </w:p>
        </w:tc>
        <w:tc>
          <w:tcPr>
            <w:tcW w:w="2108" w:type="dxa"/>
            <w:tcBorders>
              <w:top w:val="single" w:sz="4" w:space="0" w:color="auto"/>
              <w:bottom w:val="single" w:sz="4" w:space="0" w:color="auto"/>
            </w:tcBorders>
            <w:shd w:val="clear" w:color="auto" w:fill="548DD4" w:themeFill="text2" w:themeFillTint="99"/>
            <w:vAlign w:val="center"/>
          </w:tcPr>
          <w:p w14:paraId="7C7A8462"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Emissions Avoided</w:t>
            </w:r>
          </w:p>
          <w:p w14:paraId="03359DBD"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(MT CO2e)</w:t>
            </w:r>
          </w:p>
        </w:tc>
      </w:tr>
      <w:tr w:rsidR="003766DA" w:rsidRPr="001F5582" w14:paraId="38FEFEDE" w14:textId="77777777" w:rsidTr="00AF1FD4">
        <w:trPr>
          <w:trHeight w:val="326"/>
          <w:jc w:val="center"/>
        </w:trPr>
        <w:tc>
          <w:tcPr>
            <w:tcW w:w="872" w:type="dxa"/>
            <w:tcBorders>
              <w:top w:val="single" w:sz="4" w:space="0" w:color="auto"/>
              <w:bottom w:val="single" w:sz="4" w:space="0" w:color="auto"/>
            </w:tcBorders>
            <w:vAlign w:val="center"/>
          </w:tcPr>
          <w:p w14:paraId="4D517E37" w14:textId="77777777" w:rsidR="003766DA" w:rsidRDefault="003766DA" w:rsidP="00AF1FD4">
            <w:pPr>
              <w:pStyle w:val="NoSpacing"/>
              <w:jc w:val="center"/>
              <w:rPr>
                <w:rFonts w:cstheme="majorBidi"/>
                <w:sz w:val="20"/>
                <w:szCs w:val="20"/>
              </w:rPr>
            </w:pPr>
            <w:r>
              <w:rPr>
                <w:rFonts w:cstheme="majorBidi"/>
                <w:sz w:val="20"/>
                <w:szCs w:val="20"/>
              </w:rPr>
              <w:t>2012</w:t>
            </w:r>
          </w:p>
        </w:tc>
        <w:tc>
          <w:tcPr>
            <w:tcW w:w="2107" w:type="dxa"/>
            <w:tcBorders>
              <w:top w:val="single" w:sz="4" w:space="0" w:color="auto"/>
              <w:bottom w:val="single" w:sz="4" w:space="0" w:color="auto"/>
            </w:tcBorders>
            <w:vAlign w:val="center"/>
          </w:tcPr>
          <w:p w14:paraId="4A63E8FC" w14:textId="77777777" w:rsidR="003766DA" w:rsidRDefault="003766DA" w:rsidP="00AF1FD4">
            <w:pPr>
              <w:pStyle w:val="NoSpacing"/>
              <w:jc w:val="center"/>
              <w:rPr>
                <w:rFonts w:cstheme="majorBidi"/>
                <w:sz w:val="20"/>
                <w:szCs w:val="20"/>
              </w:rPr>
            </w:pPr>
            <w:r>
              <w:rPr>
                <w:rFonts w:cstheme="majorBidi"/>
                <w:sz w:val="20"/>
                <w:szCs w:val="20"/>
              </w:rPr>
              <w:t>362,934,702</w:t>
            </w:r>
          </w:p>
        </w:tc>
        <w:tc>
          <w:tcPr>
            <w:tcW w:w="2108" w:type="dxa"/>
            <w:tcBorders>
              <w:top w:val="single" w:sz="4" w:space="0" w:color="auto"/>
              <w:bottom w:val="single" w:sz="4" w:space="0" w:color="auto"/>
            </w:tcBorders>
            <w:vAlign w:val="center"/>
          </w:tcPr>
          <w:p w14:paraId="75EDDFB0" w14:textId="77777777" w:rsidR="003766DA" w:rsidRDefault="003766DA" w:rsidP="00AF1FD4">
            <w:pPr>
              <w:pStyle w:val="NoSpacing"/>
              <w:jc w:val="center"/>
              <w:rPr>
                <w:rFonts w:cstheme="majorBidi"/>
                <w:sz w:val="20"/>
                <w:szCs w:val="20"/>
              </w:rPr>
            </w:pPr>
            <w:r>
              <w:rPr>
                <w:rFonts w:cstheme="majorBidi"/>
                <w:sz w:val="20"/>
                <w:szCs w:val="20"/>
              </w:rPr>
              <w:t>N/A</w:t>
            </w:r>
          </w:p>
        </w:tc>
        <w:tc>
          <w:tcPr>
            <w:tcW w:w="2108" w:type="dxa"/>
            <w:tcBorders>
              <w:top w:val="single" w:sz="4" w:space="0" w:color="auto"/>
              <w:bottom w:val="single" w:sz="4" w:space="0" w:color="auto"/>
            </w:tcBorders>
            <w:vAlign w:val="center"/>
          </w:tcPr>
          <w:p w14:paraId="41AB6277" w14:textId="77777777" w:rsidR="003766DA" w:rsidRDefault="003766DA" w:rsidP="00AF1FD4">
            <w:pPr>
              <w:pStyle w:val="NoSpacing"/>
              <w:jc w:val="center"/>
              <w:rPr>
                <w:rFonts w:cstheme="majorBidi"/>
                <w:sz w:val="20"/>
                <w:szCs w:val="20"/>
              </w:rPr>
            </w:pPr>
            <w:r>
              <w:rPr>
                <w:rFonts w:cstheme="majorBidi"/>
                <w:sz w:val="20"/>
                <w:szCs w:val="20"/>
              </w:rPr>
              <w:t>0.000413</w:t>
            </w:r>
          </w:p>
        </w:tc>
        <w:tc>
          <w:tcPr>
            <w:tcW w:w="2108" w:type="dxa"/>
            <w:tcBorders>
              <w:top w:val="single" w:sz="4" w:space="0" w:color="auto"/>
              <w:bottom w:val="single" w:sz="4" w:space="0" w:color="auto"/>
            </w:tcBorders>
            <w:vAlign w:val="center"/>
          </w:tcPr>
          <w:p w14:paraId="66ED4F10" w14:textId="77777777" w:rsidR="003766DA" w:rsidRDefault="003766DA" w:rsidP="00AF1FD4">
            <w:pPr>
              <w:pStyle w:val="NoSpacing"/>
              <w:jc w:val="center"/>
              <w:rPr>
                <w:rFonts w:cstheme="majorBidi"/>
                <w:sz w:val="20"/>
                <w:szCs w:val="20"/>
              </w:rPr>
            </w:pPr>
            <w:r>
              <w:rPr>
                <w:rFonts w:cstheme="majorBidi"/>
                <w:sz w:val="20"/>
                <w:szCs w:val="20"/>
              </w:rPr>
              <w:t>N/A</w:t>
            </w:r>
          </w:p>
        </w:tc>
      </w:tr>
      <w:tr w:rsidR="003766DA" w:rsidRPr="001F5582" w14:paraId="64D9C3BB" w14:textId="77777777" w:rsidTr="00AF1FD4">
        <w:trPr>
          <w:trHeight w:val="326"/>
          <w:jc w:val="center"/>
        </w:trPr>
        <w:tc>
          <w:tcPr>
            <w:tcW w:w="872" w:type="dxa"/>
            <w:tcBorders>
              <w:top w:val="single" w:sz="4" w:space="0" w:color="auto"/>
              <w:bottom w:val="single" w:sz="4" w:space="0" w:color="auto"/>
            </w:tcBorders>
            <w:vAlign w:val="center"/>
          </w:tcPr>
          <w:p w14:paraId="29844D43" w14:textId="77777777" w:rsidR="003766DA" w:rsidRPr="001F5582" w:rsidRDefault="003766DA" w:rsidP="00AF1FD4">
            <w:pPr>
              <w:pStyle w:val="NoSpacing"/>
              <w:jc w:val="center"/>
              <w:rPr>
                <w:rFonts w:cstheme="majorBidi"/>
                <w:sz w:val="20"/>
                <w:szCs w:val="20"/>
              </w:rPr>
            </w:pPr>
            <w:r>
              <w:rPr>
                <w:rFonts w:cstheme="majorBidi"/>
                <w:sz w:val="20"/>
                <w:szCs w:val="20"/>
              </w:rPr>
              <w:t>2030</w:t>
            </w:r>
          </w:p>
        </w:tc>
        <w:tc>
          <w:tcPr>
            <w:tcW w:w="2107" w:type="dxa"/>
            <w:tcBorders>
              <w:top w:val="single" w:sz="4" w:space="0" w:color="auto"/>
              <w:bottom w:val="single" w:sz="4" w:space="0" w:color="auto"/>
            </w:tcBorders>
            <w:vAlign w:val="center"/>
          </w:tcPr>
          <w:p w14:paraId="5394C92C" w14:textId="77777777" w:rsidR="003766DA" w:rsidRPr="001F5582" w:rsidRDefault="003766DA" w:rsidP="00AF1FD4">
            <w:pPr>
              <w:pStyle w:val="NoSpacing"/>
              <w:jc w:val="center"/>
              <w:rPr>
                <w:rFonts w:cstheme="majorBidi"/>
                <w:sz w:val="20"/>
                <w:szCs w:val="20"/>
              </w:rPr>
            </w:pPr>
            <w:r>
              <w:rPr>
                <w:rFonts w:cstheme="majorBidi"/>
                <w:sz w:val="20"/>
                <w:szCs w:val="20"/>
              </w:rPr>
              <w:t>403,476,739</w:t>
            </w:r>
          </w:p>
        </w:tc>
        <w:tc>
          <w:tcPr>
            <w:tcW w:w="2108" w:type="dxa"/>
            <w:tcBorders>
              <w:top w:val="single" w:sz="4" w:space="0" w:color="auto"/>
              <w:bottom w:val="single" w:sz="4" w:space="0" w:color="auto"/>
            </w:tcBorders>
            <w:vAlign w:val="center"/>
          </w:tcPr>
          <w:p w14:paraId="0DF681EB" w14:textId="77777777" w:rsidR="003766DA" w:rsidRPr="001F5582" w:rsidRDefault="003766DA" w:rsidP="00AF1FD4">
            <w:pPr>
              <w:pStyle w:val="NoSpacing"/>
              <w:jc w:val="center"/>
              <w:rPr>
                <w:rFonts w:cstheme="majorBidi"/>
                <w:sz w:val="20"/>
                <w:szCs w:val="20"/>
              </w:rPr>
            </w:pPr>
            <w:r>
              <w:rPr>
                <w:rFonts w:cstheme="majorBidi"/>
                <w:sz w:val="20"/>
                <w:szCs w:val="20"/>
              </w:rPr>
              <w:t>329,101,380</w:t>
            </w:r>
          </w:p>
        </w:tc>
        <w:tc>
          <w:tcPr>
            <w:tcW w:w="2108" w:type="dxa"/>
            <w:tcBorders>
              <w:top w:val="single" w:sz="4" w:space="0" w:color="auto"/>
              <w:bottom w:val="single" w:sz="4" w:space="0" w:color="auto"/>
            </w:tcBorders>
            <w:vAlign w:val="center"/>
          </w:tcPr>
          <w:p w14:paraId="44E2BB2F" w14:textId="77777777" w:rsidR="003766DA" w:rsidRPr="001F5582" w:rsidRDefault="003766DA" w:rsidP="00AF1FD4">
            <w:pPr>
              <w:pStyle w:val="NoSpacing"/>
              <w:jc w:val="center"/>
              <w:rPr>
                <w:rFonts w:cstheme="majorBidi"/>
                <w:sz w:val="20"/>
                <w:szCs w:val="20"/>
              </w:rPr>
            </w:pPr>
            <w:r>
              <w:rPr>
                <w:rFonts w:cstheme="majorBidi"/>
                <w:sz w:val="20"/>
                <w:szCs w:val="20"/>
              </w:rPr>
              <w:t>0.000242</w:t>
            </w:r>
          </w:p>
        </w:tc>
        <w:tc>
          <w:tcPr>
            <w:tcW w:w="2108" w:type="dxa"/>
            <w:tcBorders>
              <w:top w:val="single" w:sz="4" w:space="0" w:color="auto"/>
              <w:bottom w:val="single" w:sz="4" w:space="0" w:color="auto"/>
            </w:tcBorders>
            <w:vAlign w:val="center"/>
          </w:tcPr>
          <w:p w14:paraId="4933D75C" w14:textId="77777777" w:rsidR="003766DA" w:rsidRPr="001F5582" w:rsidRDefault="003766DA" w:rsidP="00AF1FD4">
            <w:pPr>
              <w:pStyle w:val="NoSpacing"/>
              <w:jc w:val="center"/>
              <w:rPr>
                <w:rFonts w:cstheme="majorBidi"/>
                <w:sz w:val="20"/>
                <w:szCs w:val="20"/>
              </w:rPr>
            </w:pPr>
            <w:r>
              <w:rPr>
                <w:rFonts w:cstheme="majorBidi"/>
                <w:sz w:val="20"/>
                <w:szCs w:val="20"/>
              </w:rPr>
              <w:t>18,025</w:t>
            </w:r>
          </w:p>
        </w:tc>
      </w:tr>
      <w:tr w:rsidR="003766DA" w:rsidRPr="001F5582" w14:paraId="33AD41F5" w14:textId="77777777" w:rsidTr="00AF1FD4">
        <w:trPr>
          <w:trHeight w:val="326"/>
          <w:jc w:val="center"/>
        </w:trPr>
        <w:tc>
          <w:tcPr>
            <w:tcW w:w="872" w:type="dxa"/>
            <w:tcBorders>
              <w:top w:val="single" w:sz="4" w:space="0" w:color="auto"/>
              <w:bottom w:val="single" w:sz="4" w:space="0" w:color="auto"/>
            </w:tcBorders>
            <w:vAlign w:val="center"/>
          </w:tcPr>
          <w:p w14:paraId="1136B893" w14:textId="77777777" w:rsidR="003766DA" w:rsidRPr="001F5582" w:rsidRDefault="003766DA" w:rsidP="00AF1FD4">
            <w:pPr>
              <w:pStyle w:val="NoSpacing"/>
              <w:jc w:val="center"/>
              <w:rPr>
                <w:rFonts w:cstheme="majorBidi"/>
                <w:sz w:val="20"/>
                <w:szCs w:val="20"/>
              </w:rPr>
            </w:pPr>
            <w:r>
              <w:rPr>
                <w:rFonts w:cstheme="majorBidi"/>
                <w:sz w:val="20"/>
                <w:szCs w:val="20"/>
              </w:rPr>
              <w:t>2040</w:t>
            </w:r>
          </w:p>
        </w:tc>
        <w:tc>
          <w:tcPr>
            <w:tcW w:w="2107" w:type="dxa"/>
            <w:tcBorders>
              <w:top w:val="single" w:sz="4" w:space="0" w:color="auto"/>
              <w:bottom w:val="single" w:sz="4" w:space="0" w:color="auto"/>
            </w:tcBorders>
            <w:vAlign w:val="center"/>
          </w:tcPr>
          <w:p w14:paraId="7B53987F" w14:textId="77777777" w:rsidR="003766DA" w:rsidRPr="001F5582" w:rsidRDefault="003766DA" w:rsidP="00AF1FD4">
            <w:pPr>
              <w:pStyle w:val="NoSpacing"/>
              <w:jc w:val="center"/>
              <w:rPr>
                <w:rFonts w:cstheme="majorBidi"/>
                <w:sz w:val="20"/>
                <w:szCs w:val="20"/>
              </w:rPr>
            </w:pPr>
            <w:r>
              <w:rPr>
                <w:rFonts w:cstheme="majorBidi"/>
                <w:sz w:val="20"/>
                <w:szCs w:val="20"/>
              </w:rPr>
              <w:t>421,732,355</w:t>
            </w:r>
          </w:p>
        </w:tc>
        <w:tc>
          <w:tcPr>
            <w:tcW w:w="2108" w:type="dxa"/>
            <w:tcBorders>
              <w:top w:val="single" w:sz="4" w:space="0" w:color="auto"/>
              <w:bottom w:val="single" w:sz="4" w:space="0" w:color="auto"/>
            </w:tcBorders>
            <w:vAlign w:val="center"/>
          </w:tcPr>
          <w:p w14:paraId="510E29B6" w14:textId="77777777" w:rsidR="003766DA" w:rsidRPr="001F5582" w:rsidRDefault="003766DA" w:rsidP="00AF1FD4">
            <w:pPr>
              <w:pStyle w:val="NoSpacing"/>
              <w:jc w:val="center"/>
              <w:rPr>
                <w:rFonts w:cstheme="majorBidi"/>
                <w:sz w:val="20"/>
                <w:szCs w:val="20"/>
              </w:rPr>
            </w:pPr>
            <w:r>
              <w:rPr>
                <w:rFonts w:cstheme="majorBidi"/>
                <w:sz w:val="20"/>
                <w:szCs w:val="20"/>
              </w:rPr>
              <w:t>329,101,380</w:t>
            </w:r>
          </w:p>
        </w:tc>
        <w:tc>
          <w:tcPr>
            <w:tcW w:w="2108" w:type="dxa"/>
            <w:tcBorders>
              <w:top w:val="single" w:sz="4" w:space="0" w:color="auto"/>
              <w:bottom w:val="single" w:sz="4" w:space="0" w:color="auto"/>
            </w:tcBorders>
            <w:vAlign w:val="center"/>
          </w:tcPr>
          <w:p w14:paraId="27630269" w14:textId="77777777" w:rsidR="003766DA" w:rsidRPr="001F5582" w:rsidRDefault="003766DA" w:rsidP="00AF1FD4">
            <w:pPr>
              <w:pStyle w:val="NoSpacing"/>
              <w:jc w:val="center"/>
              <w:rPr>
                <w:rFonts w:cstheme="majorBidi"/>
                <w:sz w:val="20"/>
                <w:szCs w:val="20"/>
              </w:rPr>
            </w:pPr>
            <w:r>
              <w:rPr>
                <w:rFonts w:cstheme="majorBidi"/>
                <w:sz w:val="20"/>
                <w:szCs w:val="20"/>
              </w:rPr>
              <w:t>0.000214</w:t>
            </w:r>
          </w:p>
        </w:tc>
        <w:tc>
          <w:tcPr>
            <w:tcW w:w="2108" w:type="dxa"/>
            <w:tcBorders>
              <w:top w:val="single" w:sz="4" w:space="0" w:color="auto"/>
              <w:bottom w:val="single" w:sz="4" w:space="0" w:color="auto"/>
            </w:tcBorders>
            <w:vAlign w:val="center"/>
          </w:tcPr>
          <w:p w14:paraId="1C604113" w14:textId="77777777" w:rsidR="003766DA" w:rsidRPr="001F5582" w:rsidRDefault="003766DA" w:rsidP="00AF1FD4">
            <w:pPr>
              <w:pStyle w:val="NoSpacing"/>
              <w:jc w:val="center"/>
              <w:rPr>
                <w:rFonts w:cstheme="majorBidi"/>
                <w:sz w:val="20"/>
                <w:szCs w:val="20"/>
              </w:rPr>
            </w:pPr>
            <w:r>
              <w:rPr>
                <w:rFonts w:cstheme="majorBidi"/>
                <w:sz w:val="20"/>
                <w:szCs w:val="20"/>
              </w:rPr>
              <w:t>19,847</w:t>
            </w:r>
          </w:p>
        </w:tc>
      </w:tr>
      <w:tr w:rsidR="003766DA" w:rsidRPr="001F5582" w14:paraId="675620EB" w14:textId="77777777" w:rsidTr="00AF1FD4">
        <w:trPr>
          <w:trHeight w:val="323"/>
          <w:jc w:val="center"/>
        </w:trPr>
        <w:tc>
          <w:tcPr>
            <w:tcW w:w="872" w:type="dxa"/>
            <w:tcBorders>
              <w:top w:val="single" w:sz="4" w:space="0" w:color="auto"/>
              <w:bottom w:val="single" w:sz="4" w:space="0" w:color="auto"/>
            </w:tcBorders>
            <w:vAlign w:val="center"/>
          </w:tcPr>
          <w:p w14:paraId="18C8157E" w14:textId="77777777" w:rsidR="003766DA" w:rsidRPr="001F5582" w:rsidRDefault="003766DA" w:rsidP="00AF1FD4">
            <w:pPr>
              <w:pStyle w:val="NoSpacing"/>
              <w:jc w:val="center"/>
              <w:rPr>
                <w:rFonts w:cstheme="majorBidi"/>
                <w:sz w:val="20"/>
                <w:szCs w:val="20"/>
              </w:rPr>
            </w:pPr>
            <w:r>
              <w:rPr>
                <w:rFonts w:cstheme="majorBidi"/>
                <w:sz w:val="20"/>
                <w:szCs w:val="20"/>
              </w:rPr>
              <w:t>2050</w:t>
            </w:r>
          </w:p>
        </w:tc>
        <w:tc>
          <w:tcPr>
            <w:tcW w:w="2107" w:type="dxa"/>
            <w:tcBorders>
              <w:top w:val="single" w:sz="4" w:space="0" w:color="auto"/>
              <w:bottom w:val="single" w:sz="4" w:space="0" w:color="auto"/>
            </w:tcBorders>
            <w:vAlign w:val="center"/>
          </w:tcPr>
          <w:p w14:paraId="4EED532C" w14:textId="77777777" w:rsidR="003766DA" w:rsidRPr="001F5582" w:rsidRDefault="003766DA" w:rsidP="00AF1FD4">
            <w:pPr>
              <w:pStyle w:val="NoSpacing"/>
              <w:jc w:val="center"/>
              <w:rPr>
                <w:rFonts w:cstheme="majorBidi"/>
                <w:sz w:val="20"/>
                <w:szCs w:val="20"/>
              </w:rPr>
            </w:pPr>
            <w:r>
              <w:rPr>
                <w:rFonts w:cstheme="majorBidi"/>
                <w:sz w:val="20"/>
                <w:szCs w:val="20"/>
              </w:rPr>
              <w:t>444,964,787</w:t>
            </w:r>
          </w:p>
        </w:tc>
        <w:tc>
          <w:tcPr>
            <w:tcW w:w="2108" w:type="dxa"/>
            <w:tcBorders>
              <w:top w:val="single" w:sz="4" w:space="0" w:color="auto"/>
              <w:bottom w:val="single" w:sz="4" w:space="0" w:color="auto"/>
            </w:tcBorders>
            <w:vAlign w:val="center"/>
          </w:tcPr>
          <w:p w14:paraId="019C9502" w14:textId="77777777" w:rsidR="003766DA" w:rsidRPr="001F5582" w:rsidRDefault="003766DA" w:rsidP="00AF1FD4">
            <w:pPr>
              <w:pStyle w:val="NoSpacing"/>
              <w:jc w:val="center"/>
              <w:rPr>
                <w:rFonts w:cstheme="majorBidi"/>
                <w:sz w:val="20"/>
                <w:szCs w:val="20"/>
              </w:rPr>
            </w:pPr>
            <w:r>
              <w:rPr>
                <w:rFonts w:cstheme="majorBidi"/>
                <w:sz w:val="20"/>
                <w:szCs w:val="20"/>
              </w:rPr>
              <w:t>329,101,380</w:t>
            </w:r>
          </w:p>
        </w:tc>
        <w:tc>
          <w:tcPr>
            <w:tcW w:w="2108" w:type="dxa"/>
            <w:tcBorders>
              <w:top w:val="single" w:sz="4" w:space="0" w:color="auto"/>
              <w:bottom w:val="single" w:sz="4" w:space="0" w:color="auto"/>
            </w:tcBorders>
            <w:vAlign w:val="center"/>
          </w:tcPr>
          <w:p w14:paraId="6F0D0EEB" w14:textId="77777777" w:rsidR="003766DA" w:rsidRPr="001F5582" w:rsidRDefault="003766DA" w:rsidP="00AF1FD4">
            <w:pPr>
              <w:pStyle w:val="NoSpacing"/>
              <w:jc w:val="center"/>
              <w:rPr>
                <w:rFonts w:cstheme="majorBidi"/>
                <w:sz w:val="20"/>
                <w:szCs w:val="20"/>
              </w:rPr>
            </w:pPr>
            <w:r>
              <w:rPr>
                <w:rFonts w:cstheme="majorBidi"/>
                <w:sz w:val="20"/>
                <w:szCs w:val="20"/>
              </w:rPr>
              <w:t>0.000208</w:t>
            </w:r>
          </w:p>
        </w:tc>
        <w:tc>
          <w:tcPr>
            <w:tcW w:w="2108" w:type="dxa"/>
            <w:tcBorders>
              <w:top w:val="single" w:sz="4" w:space="0" w:color="auto"/>
              <w:bottom w:val="single" w:sz="4" w:space="0" w:color="auto"/>
            </w:tcBorders>
            <w:vAlign w:val="center"/>
          </w:tcPr>
          <w:p w14:paraId="6302391E" w14:textId="77777777" w:rsidR="003766DA" w:rsidRPr="001F5582" w:rsidRDefault="003766DA" w:rsidP="00AF1FD4">
            <w:pPr>
              <w:pStyle w:val="NoSpacing"/>
              <w:jc w:val="center"/>
              <w:rPr>
                <w:rFonts w:cstheme="majorBidi"/>
                <w:sz w:val="20"/>
                <w:szCs w:val="20"/>
              </w:rPr>
            </w:pPr>
            <w:r>
              <w:rPr>
                <w:rFonts w:cstheme="majorBidi"/>
                <w:sz w:val="20"/>
                <w:szCs w:val="20"/>
              </w:rPr>
              <w:t>24,152</w:t>
            </w:r>
          </w:p>
        </w:tc>
      </w:tr>
    </w:tbl>
    <w:p w14:paraId="6E39BC39" w14:textId="77777777" w:rsidR="003766DA" w:rsidRDefault="003766DA" w:rsidP="003766DA">
      <w:pPr>
        <w:pStyle w:val="ParaText"/>
        <w:rPr>
          <w:b/>
          <w:bCs/>
        </w:rPr>
      </w:pPr>
    </w:p>
    <w:p w14:paraId="37F6C347" w14:textId="77777777" w:rsidR="003766DA" w:rsidRDefault="003766DA" w:rsidP="003766DA">
      <w:pPr>
        <w:pStyle w:val="Heading4"/>
        <w:numPr>
          <w:ilvl w:val="0"/>
          <w:numId w:val="0"/>
        </w:numPr>
        <w:ind w:left="1134" w:hanging="1134"/>
      </w:pPr>
      <w:r>
        <w:t>City Measure 6: Reduce Residential Waste Collected by City Trash Service</w:t>
      </w:r>
    </w:p>
    <w:p w14:paraId="10AE5C47" w14:textId="77777777" w:rsidR="003766DA" w:rsidRPr="000F2A52" w:rsidRDefault="003766DA" w:rsidP="003766DA">
      <w:pPr>
        <w:pStyle w:val="ParaText"/>
      </w:pPr>
    </w:p>
    <w:p w14:paraId="0C16CF56" w14:textId="77777777" w:rsidR="003766DA" w:rsidRPr="000F2A52" w:rsidRDefault="003766DA" w:rsidP="003766DA">
      <w:pPr>
        <w:pStyle w:val="ParaText"/>
        <w:rPr>
          <w:rFonts w:cs="Arial"/>
        </w:rPr>
      </w:pPr>
      <w:r w:rsidRPr="000F2A52">
        <w:rPr>
          <w:b/>
          <w:bCs/>
        </w:rPr>
        <w:t>Description of Measure:</w:t>
      </w:r>
      <w:r w:rsidRPr="000F2A52">
        <w:t xml:space="preserve"> Cambridge has adopted a target of reducing residential waste collected by the City trash service 30% below 2008 levels by 2020 and 80% below 2008 levels by 2050.</w:t>
      </w:r>
    </w:p>
    <w:p w14:paraId="621CCAEA" w14:textId="519A0DDA" w:rsidR="003766DA" w:rsidRDefault="003766DA" w:rsidP="003766DA">
      <w:pPr>
        <w:pStyle w:val="ParaText"/>
      </w:pPr>
      <w:r w:rsidRPr="00A73F40">
        <w:rPr>
          <w:b/>
          <w:bCs/>
        </w:rPr>
        <w:t xml:space="preserve">Methodology for Quantifying </w:t>
      </w:r>
      <w:r>
        <w:rPr>
          <w:b/>
          <w:bCs/>
        </w:rPr>
        <w:t xml:space="preserve">Measure: </w:t>
      </w:r>
      <w:r>
        <w:t xml:space="preserve">Since 2008 data on emissions associated with residential waste collected by the City trash service was not available, 2012 data was used as a proxy. Since no residential waste reduction goals for 2030 and 2040 compared to a 2008 baseline have been established, a linear increase in the percent reduction goal from 2020 (30% reduction) to 2050 (80% reduction) was used to establish interim targets for years 2030 (46.7%) and 2040 (63.3%). Using the 2012 GHG Inventory, landfilled emissions resulting from DPW Curbside Pickup (16,422 MT CO2e) and waste incineration emissions from DPW Curbside Pickup (430 MT CO2e) were summed to establish the 2012 residential waste emissions baseline for City trash service of 16,852 MT CO2e. The resulting emissions avoided from City Measure 6 are summarized in </w:t>
      </w:r>
      <w:r w:rsidRPr="003766DA">
        <w:rPr>
          <w:sz w:val="24"/>
        </w:rPr>
        <w:fldChar w:fldCharType="begin"/>
      </w:r>
      <w:r w:rsidRPr="003766DA">
        <w:rPr>
          <w:sz w:val="24"/>
        </w:rPr>
        <w:instrText xml:space="preserve"> REF _Ref477521607 \h </w:instrText>
      </w:r>
      <w:r>
        <w:rPr>
          <w:sz w:val="24"/>
        </w:rPr>
        <w:instrText xml:space="preserve"> \* MERGEFORMAT </w:instrText>
      </w:r>
      <w:r w:rsidRPr="003766DA">
        <w:rPr>
          <w:sz w:val="24"/>
        </w:rPr>
      </w:r>
      <w:r w:rsidRPr="003766DA">
        <w:rPr>
          <w:sz w:val="24"/>
        </w:rPr>
        <w:fldChar w:fldCharType="separate"/>
      </w:r>
      <w:r w:rsidR="004537D3" w:rsidRPr="004537D3">
        <w:t xml:space="preserve">Table </w:t>
      </w:r>
      <w:r w:rsidR="004537D3" w:rsidRPr="004537D3">
        <w:rPr>
          <w:noProof/>
        </w:rPr>
        <w:t>25</w:t>
      </w:r>
      <w:r w:rsidRPr="003766DA">
        <w:rPr>
          <w:sz w:val="24"/>
        </w:rPr>
        <w:fldChar w:fldCharType="end"/>
      </w:r>
      <w:r>
        <w:t xml:space="preserve">. </w:t>
      </w:r>
    </w:p>
    <w:p w14:paraId="05A16773" w14:textId="1E12551D" w:rsidR="003766DA" w:rsidRPr="003766DA" w:rsidRDefault="003766DA" w:rsidP="003766DA">
      <w:pPr>
        <w:pStyle w:val="Caption"/>
        <w:rPr>
          <w:sz w:val="20"/>
        </w:rPr>
      </w:pPr>
      <w:bookmarkStart w:id="69" w:name="_Ref477521607"/>
      <w:r w:rsidRPr="003766DA">
        <w:rPr>
          <w:sz w:val="20"/>
        </w:rPr>
        <w:lastRenderedPageBreak/>
        <w:t xml:space="preserve">Table </w:t>
      </w:r>
      <w:r w:rsidRPr="003766DA">
        <w:rPr>
          <w:sz w:val="20"/>
        </w:rPr>
        <w:fldChar w:fldCharType="begin"/>
      </w:r>
      <w:r w:rsidRPr="003766DA">
        <w:rPr>
          <w:sz w:val="20"/>
        </w:rPr>
        <w:instrText xml:space="preserve"> SEQ Table \* ARABIC </w:instrText>
      </w:r>
      <w:r w:rsidRPr="003766DA">
        <w:rPr>
          <w:sz w:val="20"/>
        </w:rPr>
        <w:fldChar w:fldCharType="separate"/>
      </w:r>
      <w:r w:rsidR="00AD4785">
        <w:rPr>
          <w:noProof/>
          <w:sz w:val="20"/>
        </w:rPr>
        <w:t>25</w:t>
      </w:r>
      <w:r w:rsidRPr="003766DA">
        <w:rPr>
          <w:sz w:val="20"/>
        </w:rPr>
        <w:fldChar w:fldCharType="end"/>
      </w:r>
      <w:bookmarkEnd w:id="69"/>
      <w:r w:rsidRPr="003766DA">
        <w:rPr>
          <w:sz w:val="20"/>
        </w:rPr>
        <w:t>: Summary of Emissions Avoided from Reduction in Residential Waste Collected by City Trash Service</w:t>
      </w:r>
    </w:p>
    <w:tbl>
      <w:tblPr>
        <w:tblW w:w="8684"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922"/>
        <w:gridCol w:w="2587"/>
        <w:gridCol w:w="2587"/>
        <w:gridCol w:w="2588"/>
      </w:tblGrid>
      <w:tr w:rsidR="003766DA" w14:paraId="5B1F3DE8" w14:textId="77777777" w:rsidTr="00AF1FD4">
        <w:trPr>
          <w:trHeight w:val="551"/>
          <w:jc w:val="center"/>
        </w:trPr>
        <w:tc>
          <w:tcPr>
            <w:tcW w:w="922" w:type="dxa"/>
            <w:tcBorders>
              <w:top w:val="single" w:sz="4" w:space="0" w:color="auto"/>
              <w:bottom w:val="single" w:sz="4" w:space="0" w:color="auto"/>
            </w:tcBorders>
            <w:shd w:val="clear" w:color="auto" w:fill="548DD4" w:themeFill="text2" w:themeFillTint="99"/>
            <w:vAlign w:val="center"/>
          </w:tcPr>
          <w:p w14:paraId="1C0A6499"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Year</w:t>
            </w:r>
          </w:p>
          <w:p w14:paraId="55C1EF70" w14:textId="77777777" w:rsidR="003766DA" w:rsidRPr="003A51F5" w:rsidRDefault="003766DA" w:rsidP="00AF1FD4">
            <w:pPr>
              <w:pStyle w:val="NoSpacing"/>
              <w:jc w:val="center"/>
              <w:rPr>
                <w:rFonts w:cstheme="majorBidi"/>
                <w:b/>
                <w:bCs/>
                <w:color w:val="FFFFFF" w:themeColor="background1"/>
                <w:sz w:val="20"/>
                <w:szCs w:val="20"/>
              </w:rPr>
            </w:pPr>
          </w:p>
        </w:tc>
        <w:tc>
          <w:tcPr>
            <w:tcW w:w="2587" w:type="dxa"/>
            <w:tcBorders>
              <w:top w:val="single" w:sz="4" w:space="0" w:color="auto"/>
              <w:bottom w:val="single" w:sz="4" w:space="0" w:color="auto"/>
            </w:tcBorders>
            <w:shd w:val="clear" w:color="auto" w:fill="548DD4" w:themeFill="text2" w:themeFillTint="99"/>
            <w:vAlign w:val="center"/>
          </w:tcPr>
          <w:p w14:paraId="0C0B7BD3"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BAU Residential City Service Waste Emissions</w:t>
            </w:r>
          </w:p>
        </w:tc>
        <w:tc>
          <w:tcPr>
            <w:tcW w:w="2587" w:type="dxa"/>
            <w:tcBorders>
              <w:top w:val="single" w:sz="4" w:space="0" w:color="auto"/>
              <w:bottom w:val="single" w:sz="4" w:space="0" w:color="auto"/>
            </w:tcBorders>
            <w:shd w:val="clear" w:color="auto" w:fill="548DD4" w:themeFill="text2" w:themeFillTint="99"/>
            <w:vAlign w:val="center"/>
          </w:tcPr>
          <w:p w14:paraId="2F9A02DA"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Percent Reduction in Waste Below 2008 Levels</w:t>
            </w:r>
          </w:p>
        </w:tc>
        <w:tc>
          <w:tcPr>
            <w:tcW w:w="2588" w:type="dxa"/>
            <w:tcBorders>
              <w:top w:val="single" w:sz="4" w:space="0" w:color="auto"/>
              <w:bottom w:val="single" w:sz="4" w:space="0" w:color="auto"/>
            </w:tcBorders>
            <w:shd w:val="clear" w:color="auto" w:fill="548DD4" w:themeFill="text2" w:themeFillTint="99"/>
            <w:vAlign w:val="center"/>
          </w:tcPr>
          <w:p w14:paraId="426C3DB0"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 xml:space="preserve">Emissions Avoided </w:t>
            </w:r>
          </w:p>
          <w:p w14:paraId="4D875045"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(MT CO2e)</w:t>
            </w:r>
          </w:p>
        </w:tc>
      </w:tr>
      <w:tr w:rsidR="003766DA" w14:paraId="62AAF787" w14:textId="77777777" w:rsidTr="00AF1FD4">
        <w:trPr>
          <w:trHeight w:val="326"/>
          <w:jc w:val="center"/>
        </w:trPr>
        <w:tc>
          <w:tcPr>
            <w:tcW w:w="922" w:type="dxa"/>
            <w:tcBorders>
              <w:top w:val="single" w:sz="4" w:space="0" w:color="auto"/>
              <w:bottom w:val="single" w:sz="4" w:space="0" w:color="auto"/>
            </w:tcBorders>
            <w:vAlign w:val="center"/>
          </w:tcPr>
          <w:p w14:paraId="5896DB20" w14:textId="77777777" w:rsidR="003766DA" w:rsidRDefault="003766DA" w:rsidP="00AF1FD4">
            <w:pPr>
              <w:pStyle w:val="NoSpacing"/>
              <w:jc w:val="center"/>
              <w:rPr>
                <w:rFonts w:cstheme="majorBidi"/>
                <w:sz w:val="20"/>
                <w:szCs w:val="20"/>
              </w:rPr>
            </w:pPr>
            <w:r>
              <w:rPr>
                <w:rFonts w:cstheme="majorBidi"/>
                <w:sz w:val="20"/>
                <w:szCs w:val="20"/>
              </w:rPr>
              <w:t>2012</w:t>
            </w:r>
          </w:p>
        </w:tc>
        <w:tc>
          <w:tcPr>
            <w:tcW w:w="2587" w:type="dxa"/>
            <w:tcBorders>
              <w:top w:val="single" w:sz="4" w:space="0" w:color="auto"/>
              <w:bottom w:val="single" w:sz="4" w:space="0" w:color="auto"/>
            </w:tcBorders>
            <w:vAlign w:val="center"/>
          </w:tcPr>
          <w:p w14:paraId="2E613F68" w14:textId="77777777" w:rsidR="003766DA" w:rsidRDefault="003766DA" w:rsidP="00AF1FD4">
            <w:pPr>
              <w:pStyle w:val="NoSpacing"/>
              <w:jc w:val="center"/>
              <w:rPr>
                <w:rFonts w:cstheme="majorBidi"/>
                <w:sz w:val="20"/>
                <w:szCs w:val="20"/>
              </w:rPr>
            </w:pPr>
            <w:r>
              <w:rPr>
                <w:rFonts w:cstheme="majorBidi"/>
                <w:sz w:val="20"/>
                <w:szCs w:val="20"/>
              </w:rPr>
              <w:t>16,852</w:t>
            </w:r>
          </w:p>
        </w:tc>
        <w:tc>
          <w:tcPr>
            <w:tcW w:w="2587" w:type="dxa"/>
            <w:tcBorders>
              <w:top w:val="single" w:sz="4" w:space="0" w:color="auto"/>
              <w:bottom w:val="single" w:sz="4" w:space="0" w:color="auto"/>
            </w:tcBorders>
            <w:vAlign w:val="center"/>
          </w:tcPr>
          <w:p w14:paraId="63CA3805" w14:textId="77777777" w:rsidR="003766DA" w:rsidRDefault="003766DA" w:rsidP="00AF1FD4">
            <w:pPr>
              <w:pStyle w:val="NoSpacing"/>
              <w:jc w:val="center"/>
              <w:rPr>
                <w:rFonts w:cstheme="majorBidi"/>
                <w:sz w:val="20"/>
                <w:szCs w:val="20"/>
              </w:rPr>
            </w:pPr>
            <w:r>
              <w:rPr>
                <w:rFonts w:cstheme="majorBidi"/>
                <w:sz w:val="20"/>
                <w:szCs w:val="20"/>
              </w:rPr>
              <w:t>N/A</w:t>
            </w:r>
          </w:p>
        </w:tc>
        <w:tc>
          <w:tcPr>
            <w:tcW w:w="2588" w:type="dxa"/>
            <w:tcBorders>
              <w:top w:val="single" w:sz="4" w:space="0" w:color="auto"/>
              <w:bottom w:val="single" w:sz="4" w:space="0" w:color="auto"/>
            </w:tcBorders>
            <w:vAlign w:val="center"/>
          </w:tcPr>
          <w:p w14:paraId="5FD3FD58" w14:textId="77777777" w:rsidR="003766DA" w:rsidRDefault="003766DA" w:rsidP="00AF1FD4">
            <w:pPr>
              <w:pStyle w:val="NoSpacing"/>
              <w:jc w:val="center"/>
              <w:rPr>
                <w:rFonts w:cstheme="majorBidi"/>
                <w:sz w:val="20"/>
                <w:szCs w:val="20"/>
              </w:rPr>
            </w:pPr>
            <w:r>
              <w:rPr>
                <w:rFonts w:cstheme="majorBidi"/>
                <w:sz w:val="20"/>
                <w:szCs w:val="20"/>
              </w:rPr>
              <w:t>N/A</w:t>
            </w:r>
          </w:p>
        </w:tc>
      </w:tr>
      <w:tr w:rsidR="003766DA" w:rsidRPr="001F5582" w14:paraId="28CB39E6" w14:textId="77777777" w:rsidTr="00AF1FD4">
        <w:trPr>
          <w:trHeight w:val="326"/>
          <w:jc w:val="center"/>
        </w:trPr>
        <w:tc>
          <w:tcPr>
            <w:tcW w:w="922" w:type="dxa"/>
            <w:tcBorders>
              <w:top w:val="single" w:sz="4" w:space="0" w:color="auto"/>
              <w:bottom w:val="single" w:sz="4" w:space="0" w:color="auto"/>
            </w:tcBorders>
            <w:vAlign w:val="center"/>
          </w:tcPr>
          <w:p w14:paraId="53E6D8B9" w14:textId="77777777" w:rsidR="003766DA" w:rsidRPr="001F5582" w:rsidRDefault="003766DA" w:rsidP="00AF1FD4">
            <w:pPr>
              <w:pStyle w:val="NoSpacing"/>
              <w:jc w:val="center"/>
              <w:rPr>
                <w:rFonts w:cstheme="majorBidi"/>
                <w:sz w:val="20"/>
                <w:szCs w:val="20"/>
              </w:rPr>
            </w:pPr>
            <w:r>
              <w:rPr>
                <w:rFonts w:cstheme="majorBidi"/>
                <w:sz w:val="20"/>
                <w:szCs w:val="20"/>
              </w:rPr>
              <w:t>2030</w:t>
            </w:r>
          </w:p>
        </w:tc>
        <w:tc>
          <w:tcPr>
            <w:tcW w:w="2587" w:type="dxa"/>
            <w:tcBorders>
              <w:top w:val="single" w:sz="4" w:space="0" w:color="auto"/>
              <w:bottom w:val="single" w:sz="4" w:space="0" w:color="auto"/>
            </w:tcBorders>
            <w:vAlign w:val="center"/>
          </w:tcPr>
          <w:p w14:paraId="5A151383" w14:textId="77777777" w:rsidR="003766DA" w:rsidRPr="001F5582" w:rsidRDefault="003766DA" w:rsidP="00AF1FD4">
            <w:pPr>
              <w:pStyle w:val="NoSpacing"/>
              <w:jc w:val="center"/>
              <w:rPr>
                <w:rFonts w:cstheme="majorBidi"/>
                <w:sz w:val="20"/>
                <w:szCs w:val="20"/>
              </w:rPr>
            </w:pPr>
            <w:r>
              <w:rPr>
                <w:rFonts w:cstheme="majorBidi"/>
                <w:sz w:val="20"/>
                <w:szCs w:val="20"/>
              </w:rPr>
              <w:t>18,669</w:t>
            </w:r>
          </w:p>
        </w:tc>
        <w:tc>
          <w:tcPr>
            <w:tcW w:w="2587" w:type="dxa"/>
            <w:tcBorders>
              <w:top w:val="single" w:sz="4" w:space="0" w:color="auto"/>
              <w:bottom w:val="single" w:sz="4" w:space="0" w:color="auto"/>
            </w:tcBorders>
            <w:vAlign w:val="center"/>
          </w:tcPr>
          <w:p w14:paraId="759A6E6A" w14:textId="77777777" w:rsidR="003766DA" w:rsidRPr="001F5582" w:rsidRDefault="003766DA" w:rsidP="00AF1FD4">
            <w:pPr>
              <w:pStyle w:val="NoSpacing"/>
              <w:jc w:val="center"/>
              <w:rPr>
                <w:rFonts w:cstheme="majorBidi"/>
                <w:sz w:val="20"/>
                <w:szCs w:val="20"/>
              </w:rPr>
            </w:pPr>
            <w:r>
              <w:rPr>
                <w:rFonts w:cstheme="majorBidi"/>
                <w:sz w:val="20"/>
                <w:szCs w:val="20"/>
              </w:rPr>
              <w:t>46.7%</w:t>
            </w:r>
          </w:p>
        </w:tc>
        <w:tc>
          <w:tcPr>
            <w:tcW w:w="2588" w:type="dxa"/>
            <w:tcBorders>
              <w:top w:val="single" w:sz="4" w:space="0" w:color="auto"/>
              <w:bottom w:val="single" w:sz="4" w:space="0" w:color="auto"/>
            </w:tcBorders>
            <w:vAlign w:val="center"/>
          </w:tcPr>
          <w:p w14:paraId="408AD2F1" w14:textId="77777777" w:rsidR="003766DA" w:rsidRPr="001F5582" w:rsidRDefault="003766DA" w:rsidP="00AF1FD4">
            <w:pPr>
              <w:pStyle w:val="NoSpacing"/>
              <w:jc w:val="center"/>
              <w:rPr>
                <w:rFonts w:cstheme="majorBidi"/>
                <w:sz w:val="20"/>
                <w:szCs w:val="20"/>
              </w:rPr>
            </w:pPr>
            <w:r>
              <w:rPr>
                <w:rFonts w:cstheme="majorBidi"/>
                <w:sz w:val="20"/>
                <w:szCs w:val="20"/>
              </w:rPr>
              <w:t>9,681</w:t>
            </w:r>
          </w:p>
        </w:tc>
      </w:tr>
      <w:tr w:rsidR="003766DA" w:rsidRPr="001F5582" w14:paraId="7392CBF0" w14:textId="77777777" w:rsidTr="00AF1FD4">
        <w:trPr>
          <w:trHeight w:val="326"/>
          <w:jc w:val="center"/>
        </w:trPr>
        <w:tc>
          <w:tcPr>
            <w:tcW w:w="922" w:type="dxa"/>
            <w:tcBorders>
              <w:top w:val="single" w:sz="4" w:space="0" w:color="auto"/>
              <w:bottom w:val="single" w:sz="4" w:space="0" w:color="auto"/>
            </w:tcBorders>
            <w:vAlign w:val="center"/>
          </w:tcPr>
          <w:p w14:paraId="1778F7EF" w14:textId="77777777" w:rsidR="003766DA" w:rsidRPr="001F5582" w:rsidRDefault="003766DA" w:rsidP="00AF1FD4">
            <w:pPr>
              <w:pStyle w:val="NoSpacing"/>
              <w:jc w:val="center"/>
              <w:rPr>
                <w:rFonts w:cstheme="majorBidi"/>
                <w:sz w:val="20"/>
                <w:szCs w:val="20"/>
              </w:rPr>
            </w:pPr>
            <w:r>
              <w:rPr>
                <w:rFonts w:cstheme="majorBidi"/>
                <w:sz w:val="20"/>
                <w:szCs w:val="20"/>
              </w:rPr>
              <w:t>2040</w:t>
            </w:r>
          </w:p>
        </w:tc>
        <w:tc>
          <w:tcPr>
            <w:tcW w:w="2587" w:type="dxa"/>
            <w:tcBorders>
              <w:top w:val="single" w:sz="4" w:space="0" w:color="auto"/>
              <w:bottom w:val="single" w:sz="4" w:space="0" w:color="auto"/>
            </w:tcBorders>
            <w:vAlign w:val="center"/>
          </w:tcPr>
          <w:p w14:paraId="16CC5B53" w14:textId="77777777" w:rsidR="003766DA" w:rsidRPr="001F5582" w:rsidRDefault="003766DA" w:rsidP="00AF1FD4">
            <w:pPr>
              <w:pStyle w:val="NoSpacing"/>
              <w:jc w:val="center"/>
              <w:rPr>
                <w:rFonts w:cstheme="majorBidi"/>
                <w:sz w:val="20"/>
                <w:szCs w:val="20"/>
              </w:rPr>
            </w:pPr>
            <w:r>
              <w:rPr>
                <w:rFonts w:cstheme="majorBidi"/>
                <w:sz w:val="20"/>
                <w:szCs w:val="20"/>
              </w:rPr>
              <w:t>19,443</w:t>
            </w:r>
          </w:p>
        </w:tc>
        <w:tc>
          <w:tcPr>
            <w:tcW w:w="2587" w:type="dxa"/>
            <w:tcBorders>
              <w:top w:val="single" w:sz="4" w:space="0" w:color="auto"/>
              <w:bottom w:val="single" w:sz="4" w:space="0" w:color="auto"/>
            </w:tcBorders>
            <w:vAlign w:val="center"/>
          </w:tcPr>
          <w:p w14:paraId="38D84E47" w14:textId="77777777" w:rsidR="003766DA" w:rsidRPr="001F5582" w:rsidRDefault="003766DA" w:rsidP="00AF1FD4">
            <w:pPr>
              <w:pStyle w:val="NoSpacing"/>
              <w:jc w:val="center"/>
              <w:rPr>
                <w:rFonts w:cstheme="majorBidi"/>
                <w:sz w:val="20"/>
                <w:szCs w:val="20"/>
              </w:rPr>
            </w:pPr>
            <w:r>
              <w:rPr>
                <w:rFonts w:cstheme="majorBidi"/>
                <w:sz w:val="20"/>
                <w:szCs w:val="20"/>
              </w:rPr>
              <w:t>63.3%</w:t>
            </w:r>
          </w:p>
        </w:tc>
        <w:tc>
          <w:tcPr>
            <w:tcW w:w="2588" w:type="dxa"/>
            <w:tcBorders>
              <w:top w:val="single" w:sz="4" w:space="0" w:color="auto"/>
              <w:bottom w:val="single" w:sz="4" w:space="0" w:color="auto"/>
            </w:tcBorders>
            <w:vAlign w:val="center"/>
          </w:tcPr>
          <w:p w14:paraId="5D3FCC70" w14:textId="77777777" w:rsidR="003766DA" w:rsidRPr="001F5582" w:rsidRDefault="003766DA" w:rsidP="00AF1FD4">
            <w:pPr>
              <w:pStyle w:val="NoSpacing"/>
              <w:jc w:val="center"/>
              <w:rPr>
                <w:rFonts w:cstheme="majorBidi"/>
                <w:sz w:val="20"/>
                <w:szCs w:val="20"/>
              </w:rPr>
            </w:pPr>
            <w:r>
              <w:rPr>
                <w:rFonts w:cstheme="majorBidi"/>
                <w:sz w:val="20"/>
                <w:szCs w:val="20"/>
              </w:rPr>
              <w:t>13,264</w:t>
            </w:r>
          </w:p>
        </w:tc>
      </w:tr>
      <w:tr w:rsidR="003766DA" w:rsidRPr="001F5582" w14:paraId="09B09472" w14:textId="77777777" w:rsidTr="00AF1FD4">
        <w:trPr>
          <w:trHeight w:val="323"/>
          <w:jc w:val="center"/>
        </w:trPr>
        <w:tc>
          <w:tcPr>
            <w:tcW w:w="922" w:type="dxa"/>
            <w:tcBorders>
              <w:top w:val="single" w:sz="4" w:space="0" w:color="auto"/>
              <w:bottom w:val="single" w:sz="4" w:space="0" w:color="auto"/>
            </w:tcBorders>
            <w:vAlign w:val="center"/>
          </w:tcPr>
          <w:p w14:paraId="61A69B90" w14:textId="77777777" w:rsidR="003766DA" w:rsidRPr="001F5582" w:rsidRDefault="003766DA" w:rsidP="00AF1FD4">
            <w:pPr>
              <w:pStyle w:val="NoSpacing"/>
              <w:jc w:val="center"/>
              <w:rPr>
                <w:rFonts w:cstheme="majorBidi"/>
                <w:sz w:val="20"/>
                <w:szCs w:val="20"/>
              </w:rPr>
            </w:pPr>
            <w:r>
              <w:rPr>
                <w:rFonts w:cstheme="majorBidi"/>
                <w:sz w:val="20"/>
                <w:szCs w:val="20"/>
              </w:rPr>
              <w:t>2050</w:t>
            </w:r>
          </w:p>
        </w:tc>
        <w:tc>
          <w:tcPr>
            <w:tcW w:w="2587" w:type="dxa"/>
            <w:tcBorders>
              <w:top w:val="single" w:sz="4" w:space="0" w:color="auto"/>
              <w:bottom w:val="single" w:sz="4" w:space="0" w:color="auto"/>
            </w:tcBorders>
            <w:vAlign w:val="center"/>
          </w:tcPr>
          <w:p w14:paraId="4FAADA5F" w14:textId="77777777" w:rsidR="003766DA" w:rsidRPr="001F5582" w:rsidRDefault="003766DA" w:rsidP="00AF1FD4">
            <w:pPr>
              <w:pStyle w:val="NoSpacing"/>
              <w:jc w:val="center"/>
              <w:rPr>
                <w:rFonts w:cstheme="majorBidi"/>
                <w:sz w:val="20"/>
                <w:szCs w:val="20"/>
              </w:rPr>
            </w:pPr>
            <w:r>
              <w:rPr>
                <w:rFonts w:cstheme="majorBidi"/>
                <w:sz w:val="20"/>
                <w:szCs w:val="20"/>
              </w:rPr>
              <w:t>20,462</w:t>
            </w:r>
          </w:p>
        </w:tc>
        <w:tc>
          <w:tcPr>
            <w:tcW w:w="2587" w:type="dxa"/>
            <w:tcBorders>
              <w:top w:val="single" w:sz="4" w:space="0" w:color="auto"/>
              <w:bottom w:val="single" w:sz="4" w:space="0" w:color="auto"/>
            </w:tcBorders>
            <w:vAlign w:val="center"/>
          </w:tcPr>
          <w:p w14:paraId="68886067" w14:textId="77777777" w:rsidR="003766DA" w:rsidRPr="001F5582" w:rsidRDefault="003766DA" w:rsidP="00AF1FD4">
            <w:pPr>
              <w:pStyle w:val="NoSpacing"/>
              <w:jc w:val="center"/>
              <w:rPr>
                <w:rFonts w:cstheme="majorBidi"/>
                <w:sz w:val="20"/>
                <w:szCs w:val="20"/>
              </w:rPr>
            </w:pPr>
            <w:r>
              <w:rPr>
                <w:rFonts w:cstheme="majorBidi"/>
                <w:sz w:val="20"/>
                <w:szCs w:val="20"/>
              </w:rPr>
              <w:t>80%</w:t>
            </w:r>
          </w:p>
        </w:tc>
        <w:tc>
          <w:tcPr>
            <w:tcW w:w="2588" w:type="dxa"/>
            <w:tcBorders>
              <w:top w:val="single" w:sz="4" w:space="0" w:color="auto"/>
              <w:bottom w:val="single" w:sz="4" w:space="0" w:color="auto"/>
            </w:tcBorders>
            <w:vAlign w:val="center"/>
          </w:tcPr>
          <w:p w14:paraId="52E72CDA" w14:textId="77777777" w:rsidR="003766DA" w:rsidRPr="001F5582" w:rsidRDefault="003766DA" w:rsidP="00AF1FD4">
            <w:pPr>
              <w:pStyle w:val="NoSpacing"/>
              <w:jc w:val="center"/>
              <w:rPr>
                <w:rFonts w:cstheme="majorBidi"/>
                <w:sz w:val="20"/>
                <w:szCs w:val="20"/>
              </w:rPr>
            </w:pPr>
            <w:r>
              <w:rPr>
                <w:rFonts w:cstheme="majorBidi"/>
                <w:sz w:val="20"/>
                <w:szCs w:val="20"/>
              </w:rPr>
              <w:t>17,092</w:t>
            </w:r>
          </w:p>
        </w:tc>
      </w:tr>
    </w:tbl>
    <w:p w14:paraId="563B8672" w14:textId="77777777" w:rsidR="003766DA" w:rsidRDefault="003766DA" w:rsidP="003766DA">
      <w:pPr>
        <w:pStyle w:val="ParaText"/>
      </w:pPr>
    </w:p>
    <w:p w14:paraId="44A1A39F" w14:textId="77777777" w:rsidR="003766DA" w:rsidRDefault="003766DA" w:rsidP="003766DA">
      <w:pPr>
        <w:pStyle w:val="Heading4"/>
        <w:numPr>
          <w:ilvl w:val="0"/>
          <w:numId w:val="0"/>
        </w:numPr>
        <w:ind w:left="1134" w:hanging="1134"/>
      </w:pPr>
      <w:r>
        <w:t>Emissions Forecast with State Measures + City Measures</w:t>
      </w:r>
    </w:p>
    <w:p w14:paraId="080EED4C" w14:textId="77777777" w:rsidR="003766DA" w:rsidRDefault="003766DA" w:rsidP="003766DA">
      <w:pPr>
        <w:pStyle w:val="ParaText"/>
      </w:pPr>
    </w:p>
    <w:p w14:paraId="3FB22A9E" w14:textId="4DF0774A" w:rsidR="003766DA" w:rsidRPr="006A488C" w:rsidRDefault="003766DA" w:rsidP="003766DA">
      <w:pPr>
        <w:pStyle w:val="ParaText"/>
      </w:pPr>
      <w:r w:rsidRPr="003766DA">
        <w:rPr>
          <w:sz w:val="24"/>
        </w:rPr>
        <w:fldChar w:fldCharType="begin"/>
      </w:r>
      <w:r w:rsidRPr="003766DA">
        <w:rPr>
          <w:sz w:val="24"/>
        </w:rPr>
        <w:instrText xml:space="preserve"> REF _Ref477524106 \h </w:instrText>
      </w:r>
      <w:r>
        <w:rPr>
          <w:sz w:val="24"/>
        </w:rPr>
        <w:instrText xml:space="preserve"> \* MERGEFORMAT </w:instrText>
      </w:r>
      <w:r w:rsidRPr="003766DA">
        <w:rPr>
          <w:sz w:val="24"/>
        </w:rPr>
      </w:r>
      <w:r w:rsidRPr="003766DA">
        <w:rPr>
          <w:sz w:val="24"/>
        </w:rPr>
        <w:fldChar w:fldCharType="separate"/>
      </w:r>
      <w:r w:rsidR="004537D3" w:rsidRPr="004537D3">
        <w:t xml:space="preserve">Table </w:t>
      </w:r>
      <w:r w:rsidR="004537D3" w:rsidRPr="004537D3">
        <w:rPr>
          <w:noProof/>
        </w:rPr>
        <w:t>26</w:t>
      </w:r>
      <w:r w:rsidRPr="003766DA">
        <w:rPr>
          <w:sz w:val="24"/>
        </w:rPr>
        <w:fldChar w:fldCharType="end"/>
      </w:r>
      <w:r w:rsidR="004537D3">
        <w:rPr>
          <w:sz w:val="24"/>
        </w:rPr>
        <w:t xml:space="preserve"> </w:t>
      </w:r>
      <w:r>
        <w:t xml:space="preserve">summarizes the emissions avoided impact of all State measures and City measures for forecast years 2030, 2040 and 2050. </w:t>
      </w:r>
    </w:p>
    <w:p w14:paraId="3119B71B" w14:textId="1D1D2F2C" w:rsidR="003766DA" w:rsidRPr="003766DA" w:rsidRDefault="003766DA" w:rsidP="003766DA">
      <w:pPr>
        <w:pStyle w:val="Caption"/>
        <w:rPr>
          <w:sz w:val="20"/>
        </w:rPr>
      </w:pPr>
      <w:bookmarkStart w:id="70" w:name="_Ref477524106"/>
      <w:r w:rsidRPr="003766DA">
        <w:rPr>
          <w:sz w:val="20"/>
        </w:rPr>
        <w:t xml:space="preserve">Table </w:t>
      </w:r>
      <w:r w:rsidRPr="003766DA">
        <w:rPr>
          <w:sz w:val="20"/>
        </w:rPr>
        <w:fldChar w:fldCharType="begin"/>
      </w:r>
      <w:r w:rsidRPr="003766DA">
        <w:rPr>
          <w:sz w:val="20"/>
        </w:rPr>
        <w:instrText xml:space="preserve"> SEQ Table \* ARABIC </w:instrText>
      </w:r>
      <w:r w:rsidRPr="003766DA">
        <w:rPr>
          <w:sz w:val="20"/>
        </w:rPr>
        <w:fldChar w:fldCharType="separate"/>
      </w:r>
      <w:r w:rsidR="00AD4785">
        <w:rPr>
          <w:noProof/>
          <w:sz w:val="20"/>
        </w:rPr>
        <w:t>26</w:t>
      </w:r>
      <w:r w:rsidRPr="003766DA">
        <w:rPr>
          <w:sz w:val="20"/>
        </w:rPr>
        <w:fldChar w:fldCharType="end"/>
      </w:r>
      <w:bookmarkEnd w:id="70"/>
      <w:r w:rsidRPr="003766DA">
        <w:rPr>
          <w:sz w:val="20"/>
        </w:rPr>
        <w:t>: 2030-2050 Summary of Emissions Avoided from all State + City Measures</w:t>
      </w:r>
    </w:p>
    <w:tbl>
      <w:tblPr>
        <w:tblStyle w:val="TableGrid"/>
        <w:tblW w:w="0" w:type="auto"/>
        <w:tblLook w:val="04A0" w:firstRow="1" w:lastRow="0" w:firstColumn="1" w:lastColumn="0" w:noHBand="0" w:noVBand="1"/>
      </w:tblPr>
      <w:tblGrid>
        <w:gridCol w:w="1262"/>
        <w:gridCol w:w="4743"/>
        <w:gridCol w:w="1115"/>
        <w:gridCol w:w="1115"/>
        <w:gridCol w:w="1115"/>
      </w:tblGrid>
      <w:tr w:rsidR="003766DA" w14:paraId="15CECF1F" w14:textId="77777777" w:rsidTr="00AF1FD4">
        <w:trPr>
          <w:trHeight w:val="584"/>
        </w:trPr>
        <w:tc>
          <w:tcPr>
            <w:tcW w:w="1278" w:type="dxa"/>
            <w:vMerge w:val="restart"/>
            <w:shd w:val="clear" w:color="auto" w:fill="548DD4" w:themeFill="text2" w:themeFillTint="99"/>
            <w:vAlign w:val="center"/>
          </w:tcPr>
          <w:p w14:paraId="42925A21" w14:textId="77777777" w:rsidR="003766DA" w:rsidRPr="00147CBA" w:rsidRDefault="003766DA" w:rsidP="00AF1FD4">
            <w:pPr>
              <w:pStyle w:val="NoSpacing"/>
              <w:jc w:val="center"/>
              <w:rPr>
                <w:b/>
                <w:bCs/>
                <w:color w:val="FFFFFF" w:themeColor="background1"/>
                <w:sz w:val="20"/>
                <w:szCs w:val="20"/>
              </w:rPr>
            </w:pPr>
            <w:r>
              <w:rPr>
                <w:b/>
                <w:bCs/>
                <w:color w:val="FFFFFF" w:themeColor="background1"/>
                <w:sz w:val="20"/>
                <w:szCs w:val="20"/>
              </w:rPr>
              <w:t>Type of Measure</w:t>
            </w:r>
          </w:p>
        </w:tc>
        <w:tc>
          <w:tcPr>
            <w:tcW w:w="4917" w:type="dxa"/>
            <w:vMerge w:val="restart"/>
            <w:shd w:val="clear" w:color="auto" w:fill="548DD4" w:themeFill="text2" w:themeFillTint="99"/>
            <w:vAlign w:val="center"/>
          </w:tcPr>
          <w:p w14:paraId="03987D3B" w14:textId="77777777" w:rsidR="003766DA" w:rsidRDefault="003766DA" w:rsidP="00AF1FD4">
            <w:pPr>
              <w:pStyle w:val="NoSpacing"/>
              <w:jc w:val="center"/>
              <w:rPr>
                <w:b/>
                <w:bCs/>
                <w:color w:val="FFFFFF" w:themeColor="background1"/>
                <w:sz w:val="20"/>
                <w:szCs w:val="20"/>
              </w:rPr>
            </w:pPr>
            <w:r>
              <w:rPr>
                <w:b/>
                <w:bCs/>
                <w:color w:val="FFFFFF" w:themeColor="background1"/>
                <w:sz w:val="20"/>
                <w:szCs w:val="20"/>
              </w:rPr>
              <w:t>Measure Description</w:t>
            </w:r>
          </w:p>
        </w:tc>
        <w:tc>
          <w:tcPr>
            <w:tcW w:w="3381" w:type="dxa"/>
            <w:gridSpan w:val="3"/>
            <w:tcBorders>
              <w:bottom w:val="single" w:sz="4" w:space="0" w:color="auto"/>
            </w:tcBorders>
            <w:shd w:val="clear" w:color="auto" w:fill="548DD4" w:themeFill="text2" w:themeFillTint="99"/>
            <w:vAlign w:val="center"/>
          </w:tcPr>
          <w:p w14:paraId="0C0900BA" w14:textId="77777777" w:rsidR="003766DA" w:rsidRPr="00B97C2E" w:rsidRDefault="003766DA" w:rsidP="00AF1FD4">
            <w:pPr>
              <w:pStyle w:val="NoSpacing"/>
              <w:jc w:val="center"/>
              <w:rPr>
                <w:b/>
                <w:bCs/>
                <w:color w:val="FFFFFF" w:themeColor="background1"/>
                <w:sz w:val="20"/>
                <w:szCs w:val="20"/>
              </w:rPr>
            </w:pPr>
            <w:r w:rsidRPr="00B97C2E">
              <w:rPr>
                <w:b/>
                <w:bCs/>
                <w:color w:val="FFFFFF" w:themeColor="background1"/>
                <w:sz w:val="20"/>
                <w:szCs w:val="20"/>
              </w:rPr>
              <w:t>Emissions Avoided in Forecast Year</w:t>
            </w:r>
          </w:p>
          <w:p w14:paraId="506D8D33" w14:textId="77777777" w:rsidR="003766DA" w:rsidRPr="00147CBA" w:rsidRDefault="003766DA" w:rsidP="00AF1FD4">
            <w:pPr>
              <w:pStyle w:val="NoSpacing"/>
              <w:jc w:val="center"/>
              <w:rPr>
                <w:b/>
                <w:bCs/>
                <w:color w:val="FFFFFF" w:themeColor="background1"/>
                <w:sz w:val="20"/>
                <w:szCs w:val="20"/>
              </w:rPr>
            </w:pPr>
            <w:r w:rsidRPr="00B97C2E">
              <w:rPr>
                <w:b/>
                <w:bCs/>
                <w:color w:val="FFFFFF" w:themeColor="background1"/>
                <w:sz w:val="20"/>
                <w:szCs w:val="20"/>
              </w:rPr>
              <w:t>(MT CO2e)</w:t>
            </w:r>
          </w:p>
        </w:tc>
      </w:tr>
      <w:tr w:rsidR="003766DA" w14:paraId="56874163" w14:textId="77777777" w:rsidTr="00AF1FD4">
        <w:tc>
          <w:tcPr>
            <w:tcW w:w="1278" w:type="dxa"/>
            <w:vMerge/>
            <w:tcBorders>
              <w:bottom w:val="single" w:sz="4" w:space="0" w:color="auto"/>
            </w:tcBorders>
            <w:shd w:val="clear" w:color="auto" w:fill="548DD4" w:themeFill="text2" w:themeFillTint="99"/>
            <w:vAlign w:val="center"/>
          </w:tcPr>
          <w:p w14:paraId="39EC99D3" w14:textId="77777777" w:rsidR="003766DA" w:rsidRPr="00147CBA" w:rsidRDefault="003766DA" w:rsidP="00AF1FD4">
            <w:pPr>
              <w:pStyle w:val="NoSpacing"/>
              <w:jc w:val="center"/>
              <w:rPr>
                <w:color w:val="FFFFFF" w:themeColor="background1"/>
                <w:sz w:val="20"/>
                <w:szCs w:val="20"/>
              </w:rPr>
            </w:pPr>
          </w:p>
        </w:tc>
        <w:tc>
          <w:tcPr>
            <w:tcW w:w="4917" w:type="dxa"/>
            <w:vMerge/>
            <w:tcBorders>
              <w:bottom w:val="single" w:sz="4" w:space="0" w:color="auto"/>
            </w:tcBorders>
            <w:shd w:val="clear" w:color="auto" w:fill="548DD4" w:themeFill="text2" w:themeFillTint="99"/>
          </w:tcPr>
          <w:p w14:paraId="44D60B05" w14:textId="77777777" w:rsidR="003766DA" w:rsidRPr="00147CBA" w:rsidRDefault="003766DA" w:rsidP="00AF1FD4">
            <w:pPr>
              <w:pStyle w:val="NoSpacing"/>
              <w:jc w:val="center"/>
              <w:rPr>
                <w:b/>
                <w:bCs/>
                <w:color w:val="FFFFFF" w:themeColor="background1"/>
                <w:sz w:val="20"/>
                <w:szCs w:val="20"/>
              </w:rPr>
            </w:pPr>
          </w:p>
        </w:tc>
        <w:tc>
          <w:tcPr>
            <w:tcW w:w="1127" w:type="dxa"/>
            <w:tcBorders>
              <w:bottom w:val="single" w:sz="4" w:space="0" w:color="auto"/>
            </w:tcBorders>
            <w:shd w:val="clear" w:color="auto" w:fill="548DD4" w:themeFill="text2" w:themeFillTint="99"/>
            <w:vAlign w:val="center"/>
          </w:tcPr>
          <w:p w14:paraId="627190B6" w14:textId="77777777" w:rsidR="003766DA" w:rsidRPr="00147CBA" w:rsidRDefault="003766DA" w:rsidP="00AF1FD4">
            <w:pPr>
              <w:pStyle w:val="NoSpacing"/>
              <w:jc w:val="center"/>
              <w:rPr>
                <w:b/>
                <w:bCs/>
                <w:color w:val="FFFFFF" w:themeColor="background1"/>
                <w:sz w:val="20"/>
                <w:szCs w:val="20"/>
              </w:rPr>
            </w:pPr>
            <w:r w:rsidRPr="00147CBA">
              <w:rPr>
                <w:b/>
                <w:bCs/>
                <w:color w:val="FFFFFF" w:themeColor="background1"/>
                <w:sz w:val="20"/>
                <w:szCs w:val="20"/>
              </w:rPr>
              <w:t>2030</w:t>
            </w:r>
          </w:p>
        </w:tc>
        <w:tc>
          <w:tcPr>
            <w:tcW w:w="1127" w:type="dxa"/>
            <w:tcBorders>
              <w:bottom w:val="single" w:sz="4" w:space="0" w:color="auto"/>
            </w:tcBorders>
            <w:shd w:val="clear" w:color="auto" w:fill="548DD4" w:themeFill="text2" w:themeFillTint="99"/>
            <w:vAlign w:val="center"/>
          </w:tcPr>
          <w:p w14:paraId="39C9846A" w14:textId="77777777" w:rsidR="003766DA" w:rsidRPr="00147CBA" w:rsidRDefault="003766DA" w:rsidP="00AF1FD4">
            <w:pPr>
              <w:pStyle w:val="NoSpacing"/>
              <w:jc w:val="center"/>
              <w:rPr>
                <w:b/>
                <w:bCs/>
                <w:color w:val="FFFFFF" w:themeColor="background1"/>
                <w:sz w:val="20"/>
                <w:szCs w:val="20"/>
              </w:rPr>
            </w:pPr>
            <w:r w:rsidRPr="00147CBA">
              <w:rPr>
                <w:b/>
                <w:bCs/>
                <w:color w:val="FFFFFF" w:themeColor="background1"/>
                <w:sz w:val="20"/>
                <w:szCs w:val="20"/>
              </w:rPr>
              <w:t>2040</w:t>
            </w:r>
          </w:p>
        </w:tc>
        <w:tc>
          <w:tcPr>
            <w:tcW w:w="1127" w:type="dxa"/>
            <w:tcBorders>
              <w:bottom w:val="single" w:sz="4" w:space="0" w:color="auto"/>
            </w:tcBorders>
            <w:shd w:val="clear" w:color="auto" w:fill="548DD4" w:themeFill="text2" w:themeFillTint="99"/>
            <w:vAlign w:val="center"/>
          </w:tcPr>
          <w:p w14:paraId="02E99860" w14:textId="77777777" w:rsidR="003766DA" w:rsidRPr="00147CBA" w:rsidRDefault="003766DA" w:rsidP="00AF1FD4">
            <w:pPr>
              <w:pStyle w:val="NoSpacing"/>
              <w:jc w:val="center"/>
              <w:rPr>
                <w:b/>
                <w:bCs/>
                <w:color w:val="FFFFFF" w:themeColor="background1"/>
                <w:sz w:val="20"/>
                <w:szCs w:val="20"/>
              </w:rPr>
            </w:pPr>
            <w:r w:rsidRPr="00147CBA">
              <w:rPr>
                <w:b/>
                <w:bCs/>
                <w:color w:val="FFFFFF" w:themeColor="background1"/>
                <w:sz w:val="20"/>
                <w:szCs w:val="20"/>
              </w:rPr>
              <w:t>2050</w:t>
            </w:r>
          </w:p>
        </w:tc>
      </w:tr>
      <w:tr w:rsidR="003766DA" w14:paraId="41513A98" w14:textId="77777777" w:rsidTr="00AF1FD4">
        <w:trPr>
          <w:trHeight w:val="265"/>
        </w:trPr>
        <w:tc>
          <w:tcPr>
            <w:tcW w:w="1278" w:type="dxa"/>
            <w:tcBorders>
              <w:top w:val="single" w:sz="4" w:space="0" w:color="auto"/>
              <w:bottom w:val="dotted" w:sz="4" w:space="0" w:color="auto"/>
            </w:tcBorders>
            <w:vAlign w:val="center"/>
          </w:tcPr>
          <w:p w14:paraId="1DE45ABF" w14:textId="77777777" w:rsidR="003766DA" w:rsidRPr="0046475A" w:rsidRDefault="003766DA" w:rsidP="00AF1FD4">
            <w:pPr>
              <w:pStyle w:val="NoSpacing"/>
              <w:jc w:val="center"/>
              <w:rPr>
                <w:sz w:val="20"/>
                <w:szCs w:val="20"/>
              </w:rPr>
            </w:pPr>
            <w:r>
              <w:rPr>
                <w:sz w:val="20"/>
                <w:szCs w:val="20"/>
              </w:rPr>
              <w:t>State</w:t>
            </w:r>
          </w:p>
        </w:tc>
        <w:tc>
          <w:tcPr>
            <w:tcW w:w="4917" w:type="dxa"/>
            <w:tcBorders>
              <w:top w:val="single" w:sz="4" w:space="0" w:color="auto"/>
              <w:bottom w:val="dotted" w:sz="4" w:space="0" w:color="auto"/>
            </w:tcBorders>
            <w:vAlign w:val="center"/>
          </w:tcPr>
          <w:p w14:paraId="5C7A0B74" w14:textId="77777777" w:rsidR="003766DA" w:rsidRDefault="003766DA" w:rsidP="00AF1FD4">
            <w:pPr>
              <w:pStyle w:val="NoSpacing"/>
              <w:rPr>
                <w:sz w:val="20"/>
                <w:szCs w:val="20"/>
              </w:rPr>
            </w:pPr>
            <w:r>
              <w:rPr>
                <w:sz w:val="20"/>
                <w:szCs w:val="20"/>
              </w:rPr>
              <w:t>Renewable Portfolio Standard</w:t>
            </w:r>
          </w:p>
        </w:tc>
        <w:tc>
          <w:tcPr>
            <w:tcW w:w="1127" w:type="dxa"/>
            <w:tcBorders>
              <w:top w:val="single" w:sz="4" w:space="0" w:color="auto"/>
              <w:bottom w:val="dotted" w:sz="4" w:space="0" w:color="auto"/>
            </w:tcBorders>
            <w:vAlign w:val="center"/>
          </w:tcPr>
          <w:p w14:paraId="51165893" w14:textId="77777777" w:rsidR="003766DA" w:rsidRPr="00147CBA" w:rsidRDefault="003766DA" w:rsidP="00AF1FD4">
            <w:pPr>
              <w:pStyle w:val="NoSpacing"/>
              <w:jc w:val="center"/>
              <w:rPr>
                <w:sz w:val="20"/>
                <w:szCs w:val="20"/>
              </w:rPr>
            </w:pPr>
            <w:r>
              <w:rPr>
                <w:sz w:val="20"/>
                <w:szCs w:val="20"/>
              </w:rPr>
              <w:t>108,477</w:t>
            </w:r>
          </w:p>
        </w:tc>
        <w:tc>
          <w:tcPr>
            <w:tcW w:w="1127" w:type="dxa"/>
            <w:tcBorders>
              <w:top w:val="single" w:sz="4" w:space="0" w:color="auto"/>
              <w:bottom w:val="dotted" w:sz="4" w:space="0" w:color="auto"/>
            </w:tcBorders>
            <w:vAlign w:val="center"/>
          </w:tcPr>
          <w:p w14:paraId="6150EDC5" w14:textId="77777777" w:rsidR="003766DA" w:rsidRPr="00147CBA" w:rsidRDefault="003766DA" w:rsidP="00AF1FD4">
            <w:pPr>
              <w:pStyle w:val="NoSpacing"/>
              <w:jc w:val="center"/>
              <w:rPr>
                <w:sz w:val="20"/>
                <w:szCs w:val="20"/>
              </w:rPr>
            </w:pPr>
            <w:r>
              <w:rPr>
                <w:sz w:val="20"/>
                <w:szCs w:val="20"/>
              </w:rPr>
              <w:t>179,488</w:t>
            </w:r>
          </w:p>
        </w:tc>
        <w:tc>
          <w:tcPr>
            <w:tcW w:w="1127" w:type="dxa"/>
            <w:tcBorders>
              <w:top w:val="single" w:sz="4" w:space="0" w:color="auto"/>
              <w:bottom w:val="dotted" w:sz="4" w:space="0" w:color="auto"/>
            </w:tcBorders>
            <w:vAlign w:val="center"/>
          </w:tcPr>
          <w:p w14:paraId="78BE8DC2" w14:textId="77777777" w:rsidR="003766DA" w:rsidRPr="00147CBA" w:rsidRDefault="003766DA" w:rsidP="00AF1FD4">
            <w:pPr>
              <w:pStyle w:val="NoSpacing"/>
              <w:jc w:val="center"/>
              <w:rPr>
                <w:sz w:val="20"/>
                <w:szCs w:val="20"/>
              </w:rPr>
            </w:pPr>
            <w:r>
              <w:rPr>
                <w:sz w:val="20"/>
                <w:szCs w:val="20"/>
              </w:rPr>
              <w:t>258,459</w:t>
            </w:r>
          </w:p>
        </w:tc>
      </w:tr>
      <w:tr w:rsidR="003766DA" w14:paraId="3D91EBEE" w14:textId="77777777" w:rsidTr="00AF1FD4">
        <w:trPr>
          <w:trHeight w:val="265"/>
        </w:trPr>
        <w:tc>
          <w:tcPr>
            <w:tcW w:w="1278" w:type="dxa"/>
            <w:tcBorders>
              <w:top w:val="dotted" w:sz="4" w:space="0" w:color="auto"/>
              <w:bottom w:val="single" w:sz="4" w:space="0" w:color="auto"/>
            </w:tcBorders>
            <w:vAlign w:val="center"/>
          </w:tcPr>
          <w:p w14:paraId="6441C171" w14:textId="77777777" w:rsidR="003766DA" w:rsidRPr="0046475A" w:rsidRDefault="003766DA" w:rsidP="00AF1FD4">
            <w:pPr>
              <w:pStyle w:val="NoSpacing"/>
              <w:jc w:val="center"/>
              <w:rPr>
                <w:sz w:val="20"/>
                <w:szCs w:val="20"/>
              </w:rPr>
            </w:pPr>
            <w:r>
              <w:rPr>
                <w:sz w:val="20"/>
                <w:szCs w:val="20"/>
              </w:rPr>
              <w:t>State</w:t>
            </w:r>
          </w:p>
        </w:tc>
        <w:tc>
          <w:tcPr>
            <w:tcW w:w="4917" w:type="dxa"/>
            <w:tcBorders>
              <w:top w:val="dotted" w:sz="4" w:space="0" w:color="auto"/>
              <w:bottom w:val="single" w:sz="4" w:space="0" w:color="auto"/>
            </w:tcBorders>
            <w:vAlign w:val="center"/>
          </w:tcPr>
          <w:p w14:paraId="49A6FF4A" w14:textId="77777777" w:rsidR="003766DA" w:rsidRDefault="003766DA" w:rsidP="00AF1FD4">
            <w:pPr>
              <w:pStyle w:val="NoSpacing"/>
              <w:rPr>
                <w:sz w:val="20"/>
                <w:szCs w:val="20"/>
              </w:rPr>
            </w:pPr>
            <w:r w:rsidRPr="0046475A">
              <w:rPr>
                <w:sz w:val="20"/>
                <w:szCs w:val="20"/>
              </w:rPr>
              <w:t>Vehicle Efficiency Standards + EV Market Growth</w:t>
            </w:r>
          </w:p>
        </w:tc>
        <w:tc>
          <w:tcPr>
            <w:tcW w:w="1127" w:type="dxa"/>
            <w:tcBorders>
              <w:top w:val="dotted" w:sz="4" w:space="0" w:color="auto"/>
              <w:bottom w:val="single" w:sz="4" w:space="0" w:color="auto"/>
            </w:tcBorders>
            <w:vAlign w:val="center"/>
          </w:tcPr>
          <w:p w14:paraId="269CA1A9" w14:textId="77777777" w:rsidR="003766DA" w:rsidRPr="00147CBA" w:rsidRDefault="003766DA" w:rsidP="00AF1FD4">
            <w:pPr>
              <w:pStyle w:val="NoSpacing"/>
              <w:jc w:val="center"/>
              <w:rPr>
                <w:sz w:val="20"/>
                <w:szCs w:val="20"/>
              </w:rPr>
            </w:pPr>
            <w:r>
              <w:rPr>
                <w:sz w:val="20"/>
                <w:szCs w:val="20"/>
              </w:rPr>
              <w:t>68,742</w:t>
            </w:r>
          </w:p>
        </w:tc>
        <w:tc>
          <w:tcPr>
            <w:tcW w:w="1127" w:type="dxa"/>
            <w:tcBorders>
              <w:top w:val="dotted" w:sz="4" w:space="0" w:color="auto"/>
              <w:bottom w:val="single" w:sz="4" w:space="0" w:color="auto"/>
            </w:tcBorders>
            <w:vAlign w:val="center"/>
          </w:tcPr>
          <w:p w14:paraId="61F299D3" w14:textId="77777777" w:rsidR="003766DA" w:rsidRPr="00147CBA" w:rsidRDefault="003766DA" w:rsidP="00AF1FD4">
            <w:pPr>
              <w:pStyle w:val="NoSpacing"/>
              <w:jc w:val="center"/>
              <w:rPr>
                <w:sz w:val="20"/>
                <w:szCs w:val="20"/>
              </w:rPr>
            </w:pPr>
            <w:r>
              <w:rPr>
                <w:sz w:val="20"/>
                <w:szCs w:val="20"/>
              </w:rPr>
              <w:t>83,700</w:t>
            </w:r>
          </w:p>
        </w:tc>
        <w:tc>
          <w:tcPr>
            <w:tcW w:w="1127" w:type="dxa"/>
            <w:tcBorders>
              <w:top w:val="dotted" w:sz="4" w:space="0" w:color="auto"/>
              <w:bottom w:val="single" w:sz="4" w:space="0" w:color="auto"/>
            </w:tcBorders>
            <w:vAlign w:val="center"/>
          </w:tcPr>
          <w:p w14:paraId="33040DCB" w14:textId="77777777" w:rsidR="003766DA" w:rsidRPr="00147CBA" w:rsidRDefault="003766DA" w:rsidP="00AF1FD4">
            <w:pPr>
              <w:pStyle w:val="NoSpacing"/>
              <w:jc w:val="center"/>
              <w:rPr>
                <w:sz w:val="20"/>
                <w:szCs w:val="20"/>
              </w:rPr>
            </w:pPr>
            <w:r>
              <w:rPr>
                <w:sz w:val="20"/>
                <w:szCs w:val="20"/>
              </w:rPr>
              <w:t>90,896</w:t>
            </w:r>
          </w:p>
        </w:tc>
      </w:tr>
      <w:tr w:rsidR="003766DA" w14:paraId="62ADDE6F" w14:textId="77777777" w:rsidTr="00AF1FD4">
        <w:trPr>
          <w:trHeight w:val="265"/>
        </w:trPr>
        <w:tc>
          <w:tcPr>
            <w:tcW w:w="1278" w:type="dxa"/>
            <w:tcBorders>
              <w:top w:val="single" w:sz="4" w:space="0" w:color="auto"/>
              <w:bottom w:val="single" w:sz="4" w:space="0" w:color="auto"/>
            </w:tcBorders>
            <w:vAlign w:val="center"/>
          </w:tcPr>
          <w:p w14:paraId="2214D25E" w14:textId="77777777" w:rsidR="003766DA" w:rsidRPr="00CE254C" w:rsidRDefault="003766DA" w:rsidP="00AF1FD4">
            <w:pPr>
              <w:pStyle w:val="NoSpacing"/>
              <w:jc w:val="center"/>
              <w:rPr>
                <w:b/>
                <w:bCs/>
                <w:sz w:val="20"/>
                <w:szCs w:val="20"/>
              </w:rPr>
            </w:pPr>
            <w:r w:rsidRPr="00CE254C">
              <w:rPr>
                <w:b/>
                <w:bCs/>
                <w:sz w:val="20"/>
                <w:szCs w:val="20"/>
              </w:rPr>
              <w:t>State</w:t>
            </w:r>
          </w:p>
        </w:tc>
        <w:tc>
          <w:tcPr>
            <w:tcW w:w="4917" w:type="dxa"/>
            <w:tcBorders>
              <w:top w:val="single" w:sz="4" w:space="0" w:color="auto"/>
              <w:bottom w:val="single" w:sz="4" w:space="0" w:color="auto"/>
            </w:tcBorders>
            <w:vAlign w:val="center"/>
          </w:tcPr>
          <w:p w14:paraId="13D72FE0" w14:textId="77777777" w:rsidR="003766DA" w:rsidRPr="00CE254C" w:rsidRDefault="003766DA" w:rsidP="00AF1FD4">
            <w:pPr>
              <w:pStyle w:val="NoSpacing"/>
              <w:rPr>
                <w:b/>
                <w:bCs/>
                <w:sz w:val="20"/>
                <w:szCs w:val="20"/>
              </w:rPr>
            </w:pPr>
            <w:r w:rsidRPr="00CE254C">
              <w:rPr>
                <w:b/>
                <w:bCs/>
                <w:sz w:val="20"/>
                <w:szCs w:val="20"/>
              </w:rPr>
              <w:t>All State Measures</w:t>
            </w:r>
          </w:p>
        </w:tc>
        <w:tc>
          <w:tcPr>
            <w:tcW w:w="1127" w:type="dxa"/>
            <w:tcBorders>
              <w:top w:val="single" w:sz="4" w:space="0" w:color="auto"/>
              <w:bottom w:val="single" w:sz="4" w:space="0" w:color="auto"/>
            </w:tcBorders>
            <w:vAlign w:val="center"/>
          </w:tcPr>
          <w:p w14:paraId="4154620B" w14:textId="77777777" w:rsidR="003766DA" w:rsidRPr="00CE254C" w:rsidRDefault="003766DA" w:rsidP="00AF1FD4">
            <w:pPr>
              <w:pStyle w:val="NoSpacing"/>
              <w:jc w:val="center"/>
              <w:rPr>
                <w:b/>
                <w:bCs/>
                <w:sz w:val="20"/>
                <w:szCs w:val="20"/>
              </w:rPr>
            </w:pPr>
            <w:r>
              <w:rPr>
                <w:b/>
                <w:bCs/>
                <w:sz w:val="20"/>
                <w:szCs w:val="20"/>
              </w:rPr>
              <w:t>177,218</w:t>
            </w:r>
          </w:p>
        </w:tc>
        <w:tc>
          <w:tcPr>
            <w:tcW w:w="1127" w:type="dxa"/>
            <w:tcBorders>
              <w:top w:val="single" w:sz="4" w:space="0" w:color="auto"/>
              <w:bottom w:val="single" w:sz="4" w:space="0" w:color="auto"/>
            </w:tcBorders>
            <w:vAlign w:val="center"/>
          </w:tcPr>
          <w:p w14:paraId="5D420647" w14:textId="77777777" w:rsidR="003766DA" w:rsidRPr="00CE254C" w:rsidRDefault="003766DA" w:rsidP="00AF1FD4">
            <w:pPr>
              <w:pStyle w:val="NoSpacing"/>
              <w:jc w:val="center"/>
              <w:rPr>
                <w:b/>
                <w:bCs/>
                <w:sz w:val="20"/>
                <w:szCs w:val="20"/>
              </w:rPr>
            </w:pPr>
            <w:r>
              <w:rPr>
                <w:b/>
                <w:bCs/>
                <w:sz w:val="20"/>
                <w:szCs w:val="20"/>
              </w:rPr>
              <w:t>263,189</w:t>
            </w:r>
          </w:p>
        </w:tc>
        <w:tc>
          <w:tcPr>
            <w:tcW w:w="1127" w:type="dxa"/>
            <w:tcBorders>
              <w:top w:val="single" w:sz="4" w:space="0" w:color="auto"/>
              <w:bottom w:val="single" w:sz="4" w:space="0" w:color="auto"/>
            </w:tcBorders>
            <w:vAlign w:val="center"/>
          </w:tcPr>
          <w:p w14:paraId="48F7BA2B" w14:textId="77777777" w:rsidR="003766DA" w:rsidRPr="00CE254C" w:rsidRDefault="003766DA" w:rsidP="00AF1FD4">
            <w:pPr>
              <w:pStyle w:val="NoSpacing"/>
              <w:jc w:val="center"/>
              <w:rPr>
                <w:b/>
                <w:bCs/>
                <w:sz w:val="20"/>
                <w:szCs w:val="20"/>
              </w:rPr>
            </w:pPr>
            <w:r>
              <w:rPr>
                <w:b/>
                <w:bCs/>
                <w:sz w:val="20"/>
                <w:szCs w:val="20"/>
              </w:rPr>
              <w:t>349,355</w:t>
            </w:r>
          </w:p>
        </w:tc>
      </w:tr>
      <w:tr w:rsidR="003766DA" w14:paraId="69194ADA" w14:textId="77777777" w:rsidTr="00AF1FD4">
        <w:trPr>
          <w:trHeight w:val="265"/>
        </w:trPr>
        <w:tc>
          <w:tcPr>
            <w:tcW w:w="1278" w:type="dxa"/>
            <w:tcBorders>
              <w:top w:val="single" w:sz="4" w:space="0" w:color="auto"/>
              <w:bottom w:val="dotted" w:sz="4" w:space="0" w:color="auto"/>
            </w:tcBorders>
            <w:vAlign w:val="center"/>
          </w:tcPr>
          <w:p w14:paraId="433B27DC" w14:textId="77777777" w:rsidR="003766DA" w:rsidRDefault="003766DA" w:rsidP="00AF1FD4">
            <w:pPr>
              <w:pStyle w:val="NoSpacing"/>
              <w:jc w:val="center"/>
              <w:rPr>
                <w:sz w:val="20"/>
                <w:szCs w:val="20"/>
              </w:rPr>
            </w:pPr>
            <w:r>
              <w:rPr>
                <w:sz w:val="20"/>
                <w:szCs w:val="20"/>
              </w:rPr>
              <w:t>City</w:t>
            </w:r>
          </w:p>
        </w:tc>
        <w:tc>
          <w:tcPr>
            <w:tcW w:w="4917" w:type="dxa"/>
            <w:tcBorders>
              <w:top w:val="single" w:sz="4" w:space="0" w:color="auto"/>
              <w:bottom w:val="dotted" w:sz="4" w:space="0" w:color="auto"/>
            </w:tcBorders>
            <w:vAlign w:val="center"/>
          </w:tcPr>
          <w:p w14:paraId="4F74ED1A" w14:textId="77777777" w:rsidR="003766DA" w:rsidRDefault="003766DA" w:rsidP="00AF1FD4">
            <w:pPr>
              <w:pStyle w:val="NoSpacing"/>
              <w:rPr>
                <w:sz w:val="20"/>
                <w:szCs w:val="20"/>
              </w:rPr>
            </w:pPr>
            <w:r>
              <w:rPr>
                <w:sz w:val="20"/>
                <w:szCs w:val="20"/>
              </w:rPr>
              <w:t xml:space="preserve">Measure 1: </w:t>
            </w:r>
            <w:r w:rsidRPr="00CE254C">
              <w:rPr>
                <w:sz w:val="20"/>
                <w:szCs w:val="20"/>
              </w:rPr>
              <w:t>Reduction in Municipal Operations Emission</w:t>
            </w:r>
            <w:r>
              <w:rPr>
                <w:sz w:val="20"/>
                <w:szCs w:val="20"/>
              </w:rPr>
              <w:t>s</w:t>
            </w:r>
          </w:p>
        </w:tc>
        <w:tc>
          <w:tcPr>
            <w:tcW w:w="1127" w:type="dxa"/>
            <w:tcBorders>
              <w:top w:val="single" w:sz="4" w:space="0" w:color="auto"/>
              <w:bottom w:val="dotted" w:sz="4" w:space="0" w:color="auto"/>
            </w:tcBorders>
            <w:vAlign w:val="center"/>
          </w:tcPr>
          <w:p w14:paraId="53B8D18A" w14:textId="77777777" w:rsidR="003766DA" w:rsidRPr="00147CBA" w:rsidRDefault="003766DA" w:rsidP="00AF1FD4">
            <w:pPr>
              <w:pStyle w:val="NoSpacing"/>
              <w:jc w:val="center"/>
              <w:rPr>
                <w:sz w:val="20"/>
                <w:szCs w:val="20"/>
              </w:rPr>
            </w:pPr>
            <w:r>
              <w:rPr>
                <w:sz w:val="20"/>
                <w:szCs w:val="20"/>
              </w:rPr>
              <w:t>2,821</w:t>
            </w:r>
          </w:p>
        </w:tc>
        <w:tc>
          <w:tcPr>
            <w:tcW w:w="1127" w:type="dxa"/>
            <w:tcBorders>
              <w:top w:val="single" w:sz="4" w:space="0" w:color="auto"/>
              <w:bottom w:val="dotted" w:sz="4" w:space="0" w:color="auto"/>
            </w:tcBorders>
            <w:vAlign w:val="center"/>
          </w:tcPr>
          <w:p w14:paraId="744B85D4" w14:textId="77777777" w:rsidR="003766DA" w:rsidRPr="00147CBA" w:rsidRDefault="003766DA" w:rsidP="00AF1FD4">
            <w:pPr>
              <w:pStyle w:val="NoSpacing"/>
              <w:jc w:val="center"/>
              <w:rPr>
                <w:sz w:val="20"/>
                <w:szCs w:val="20"/>
              </w:rPr>
            </w:pPr>
            <w:r>
              <w:rPr>
                <w:sz w:val="20"/>
                <w:szCs w:val="20"/>
              </w:rPr>
              <w:t>2,821</w:t>
            </w:r>
          </w:p>
        </w:tc>
        <w:tc>
          <w:tcPr>
            <w:tcW w:w="1127" w:type="dxa"/>
            <w:tcBorders>
              <w:top w:val="single" w:sz="4" w:space="0" w:color="auto"/>
              <w:bottom w:val="dotted" w:sz="4" w:space="0" w:color="auto"/>
            </w:tcBorders>
            <w:vAlign w:val="center"/>
          </w:tcPr>
          <w:p w14:paraId="105A0909" w14:textId="77777777" w:rsidR="003766DA" w:rsidRPr="00147CBA" w:rsidRDefault="003766DA" w:rsidP="00AF1FD4">
            <w:pPr>
              <w:pStyle w:val="NoSpacing"/>
              <w:jc w:val="center"/>
              <w:rPr>
                <w:sz w:val="20"/>
                <w:szCs w:val="20"/>
              </w:rPr>
            </w:pPr>
            <w:r>
              <w:rPr>
                <w:sz w:val="20"/>
                <w:szCs w:val="20"/>
              </w:rPr>
              <w:t>2,821</w:t>
            </w:r>
          </w:p>
        </w:tc>
      </w:tr>
      <w:tr w:rsidR="003766DA" w14:paraId="727D25AF" w14:textId="77777777" w:rsidTr="00AF1FD4">
        <w:trPr>
          <w:trHeight w:val="265"/>
        </w:trPr>
        <w:tc>
          <w:tcPr>
            <w:tcW w:w="1278" w:type="dxa"/>
            <w:tcBorders>
              <w:top w:val="dotted" w:sz="4" w:space="0" w:color="auto"/>
              <w:bottom w:val="dotted" w:sz="4" w:space="0" w:color="auto"/>
            </w:tcBorders>
            <w:vAlign w:val="center"/>
          </w:tcPr>
          <w:p w14:paraId="0A5969F6" w14:textId="77777777" w:rsidR="003766DA" w:rsidRDefault="003766DA" w:rsidP="00AF1FD4">
            <w:pPr>
              <w:pStyle w:val="NoSpacing"/>
              <w:jc w:val="center"/>
              <w:rPr>
                <w:sz w:val="20"/>
                <w:szCs w:val="20"/>
              </w:rPr>
            </w:pPr>
            <w:r>
              <w:rPr>
                <w:sz w:val="20"/>
                <w:szCs w:val="20"/>
              </w:rPr>
              <w:t>City</w:t>
            </w:r>
          </w:p>
        </w:tc>
        <w:tc>
          <w:tcPr>
            <w:tcW w:w="4917" w:type="dxa"/>
            <w:tcBorders>
              <w:top w:val="dotted" w:sz="4" w:space="0" w:color="auto"/>
              <w:bottom w:val="dotted" w:sz="4" w:space="0" w:color="auto"/>
            </w:tcBorders>
            <w:vAlign w:val="center"/>
          </w:tcPr>
          <w:p w14:paraId="2342B0E6" w14:textId="77777777" w:rsidR="003766DA" w:rsidRDefault="003766DA" w:rsidP="00AF1FD4">
            <w:pPr>
              <w:pStyle w:val="NoSpacing"/>
              <w:rPr>
                <w:sz w:val="20"/>
                <w:szCs w:val="20"/>
              </w:rPr>
            </w:pPr>
            <w:r>
              <w:rPr>
                <w:sz w:val="20"/>
                <w:szCs w:val="20"/>
              </w:rPr>
              <w:t xml:space="preserve">Measure 2: </w:t>
            </w:r>
            <w:r w:rsidRPr="00CE254C">
              <w:rPr>
                <w:sz w:val="20"/>
                <w:szCs w:val="20"/>
              </w:rPr>
              <w:t xml:space="preserve">Net Zero </w:t>
            </w:r>
            <w:r>
              <w:rPr>
                <w:sz w:val="20"/>
                <w:szCs w:val="20"/>
              </w:rPr>
              <w:t>New &amp; Existing Buildings</w:t>
            </w:r>
          </w:p>
        </w:tc>
        <w:tc>
          <w:tcPr>
            <w:tcW w:w="1127" w:type="dxa"/>
            <w:tcBorders>
              <w:top w:val="dotted" w:sz="4" w:space="0" w:color="auto"/>
              <w:bottom w:val="dotted" w:sz="4" w:space="0" w:color="auto"/>
            </w:tcBorders>
            <w:vAlign w:val="center"/>
          </w:tcPr>
          <w:p w14:paraId="508939AD" w14:textId="77777777" w:rsidR="003766DA" w:rsidRPr="00147CBA" w:rsidRDefault="003766DA" w:rsidP="00AF1FD4">
            <w:pPr>
              <w:pStyle w:val="NoSpacing"/>
              <w:jc w:val="center"/>
              <w:rPr>
                <w:sz w:val="20"/>
                <w:szCs w:val="20"/>
              </w:rPr>
            </w:pPr>
            <w:r>
              <w:rPr>
                <w:sz w:val="20"/>
                <w:szCs w:val="20"/>
              </w:rPr>
              <w:t>261,883</w:t>
            </w:r>
          </w:p>
        </w:tc>
        <w:tc>
          <w:tcPr>
            <w:tcW w:w="1127" w:type="dxa"/>
            <w:tcBorders>
              <w:top w:val="dotted" w:sz="4" w:space="0" w:color="auto"/>
              <w:bottom w:val="dotted" w:sz="4" w:space="0" w:color="auto"/>
            </w:tcBorders>
            <w:vAlign w:val="center"/>
          </w:tcPr>
          <w:p w14:paraId="3B767EAF" w14:textId="77777777" w:rsidR="003766DA" w:rsidRPr="00147CBA" w:rsidRDefault="003766DA" w:rsidP="00AF1FD4">
            <w:pPr>
              <w:pStyle w:val="NoSpacing"/>
              <w:jc w:val="center"/>
              <w:rPr>
                <w:sz w:val="20"/>
                <w:szCs w:val="20"/>
              </w:rPr>
            </w:pPr>
            <w:r>
              <w:rPr>
                <w:sz w:val="20"/>
                <w:szCs w:val="20"/>
              </w:rPr>
              <w:t>493,951</w:t>
            </w:r>
          </w:p>
        </w:tc>
        <w:tc>
          <w:tcPr>
            <w:tcW w:w="1127" w:type="dxa"/>
            <w:tcBorders>
              <w:top w:val="dotted" w:sz="4" w:space="0" w:color="auto"/>
              <w:bottom w:val="dotted" w:sz="4" w:space="0" w:color="auto"/>
            </w:tcBorders>
            <w:vAlign w:val="center"/>
          </w:tcPr>
          <w:p w14:paraId="4BE6DB70" w14:textId="77777777" w:rsidR="003766DA" w:rsidRPr="00147CBA" w:rsidRDefault="003766DA" w:rsidP="00AF1FD4">
            <w:pPr>
              <w:pStyle w:val="NoSpacing"/>
              <w:jc w:val="center"/>
              <w:rPr>
                <w:sz w:val="20"/>
                <w:szCs w:val="20"/>
              </w:rPr>
            </w:pPr>
            <w:r>
              <w:rPr>
                <w:sz w:val="20"/>
                <w:szCs w:val="20"/>
              </w:rPr>
              <w:t>493,951</w:t>
            </w:r>
          </w:p>
        </w:tc>
      </w:tr>
      <w:tr w:rsidR="003766DA" w14:paraId="6AA1D5F8" w14:textId="77777777" w:rsidTr="00AF1FD4">
        <w:trPr>
          <w:trHeight w:val="265"/>
        </w:trPr>
        <w:tc>
          <w:tcPr>
            <w:tcW w:w="1278" w:type="dxa"/>
            <w:tcBorders>
              <w:top w:val="dotted" w:sz="4" w:space="0" w:color="auto"/>
              <w:bottom w:val="dotted" w:sz="4" w:space="0" w:color="auto"/>
            </w:tcBorders>
            <w:vAlign w:val="center"/>
          </w:tcPr>
          <w:p w14:paraId="461BAE26" w14:textId="77777777" w:rsidR="003766DA" w:rsidRDefault="003766DA" w:rsidP="00AF1FD4">
            <w:pPr>
              <w:pStyle w:val="NoSpacing"/>
              <w:jc w:val="center"/>
              <w:rPr>
                <w:sz w:val="20"/>
                <w:szCs w:val="20"/>
              </w:rPr>
            </w:pPr>
            <w:r>
              <w:rPr>
                <w:sz w:val="20"/>
                <w:szCs w:val="20"/>
              </w:rPr>
              <w:t>City</w:t>
            </w:r>
          </w:p>
        </w:tc>
        <w:tc>
          <w:tcPr>
            <w:tcW w:w="4917" w:type="dxa"/>
            <w:tcBorders>
              <w:top w:val="dotted" w:sz="4" w:space="0" w:color="auto"/>
              <w:bottom w:val="dotted" w:sz="4" w:space="0" w:color="auto"/>
            </w:tcBorders>
            <w:vAlign w:val="center"/>
          </w:tcPr>
          <w:p w14:paraId="2EF4C026" w14:textId="77777777" w:rsidR="003766DA" w:rsidRDefault="003766DA" w:rsidP="00AF1FD4">
            <w:pPr>
              <w:pStyle w:val="NoSpacing"/>
              <w:rPr>
                <w:sz w:val="20"/>
                <w:szCs w:val="20"/>
              </w:rPr>
            </w:pPr>
            <w:r>
              <w:rPr>
                <w:sz w:val="20"/>
                <w:szCs w:val="20"/>
              </w:rPr>
              <w:t xml:space="preserve">Measure 3: </w:t>
            </w:r>
            <w:r w:rsidRPr="00CE254C">
              <w:rPr>
                <w:sz w:val="20"/>
                <w:szCs w:val="20"/>
              </w:rPr>
              <w:t>Solar Installations in Cambridge</w:t>
            </w:r>
          </w:p>
        </w:tc>
        <w:tc>
          <w:tcPr>
            <w:tcW w:w="1127" w:type="dxa"/>
            <w:tcBorders>
              <w:top w:val="dotted" w:sz="4" w:space="0" w:color="auto"/>
              <w:bottom w:val="dotted" w:sz="4" w:space="0" w:color="auto"/>
            </w:tcBorders>
            <w:vAlign w:val="center"/>
          </w:tcPr>
          <w:p w14:paraId="7E7C2B32" w14:textId="77777777" w:rsidR="003766DA" w:rsidRPr="00147CBA" w:rsidRDefault="003766DA" w:rsidP="00AF1FD4">
            <w:pPr>
              <w:pStyle w:val="NoSpacing"/>
              <w:jc w:val="center"/>
              <w:rPr>
                <w:sz w:val="20"/>
                <w:szCs w:val="20"/>
              </w:rPr>
            </w:pPr>
            <w:r>
              <w:rPr>
                <w:sz w:val="20"/>
                <w:szCs w:val="20"/>
              </w:rPr>
              <w:t>38,315</w:t>
            </w:r>
          </w:p>
        </w:tc>
        <w:tc>
          <w:tcPr>
            <w:tcW w:w="1127" w:type="dxa"/>
            <w:tcBorders>
              <w:top w:val="dotted" w:sz="4" w:space="0" w:color="auto"/>
              <w:bottom w:val="dotted" w:sz="4" w:space="0" w:color="auto"/>
            </w:tcBorders>
            <w:vAlign w:val="center"/>
          </w:tcPr>
          <w:p w14:paraId="7C92229C" w14:textId="77777777" w:rsidR="003766DA" w:rsidRPr="00147CBA" w:rsidRDefault="003766DA" w:rsidP="00AF1FD4">
            <w:pPr>
              <w:pStyle w:val="NoSpacing"/>
              <w:jc w:val="center"/>
              <w:rPr>
                <w:sz w:val="20"/>
                <w:szCs w:val="20"/>
              </w:rPr>
            </w:pPr>
            <w:r>
              <w:rPr>
                <w:sz w:val="20"/>
                <w:szCs w:val="20"/>
              </w:rPr>
              <w:t>47,651</w:t>
            </w:r>
          </w:p>
        </w:tc>
        <w:tc>
          <w:tcPr>
            <w:tcW w:w="1127" w:type="dxa"/>
            <w:tcBorders>
              <w:top w:val="dotted" w:sz="4" w:space="0" w:color="auto"/>
              <w:bottom w:val="dotted" w:sz="4" w:space="0" w:color="auto"/>
            </w:tcBorders>
            <w:vAlign w:val="center"/>
          </w:tcPr>
          <w:p w14:paraId="0D46A7D9" w14:textId="77777777" w:rsidR="003766DA" w:rsidRPr="00147CBA" w:rsidRDefault="003766DA" w:rsidP="00AF1FD4">
            <w:pPr>
              <w:pStyle w:val="NoSpacing"/>
              <w:jc w:val="center"/>
              <w:rPr>
                <w:sz w:val="20"/>
                <w:szCs w:val="20"/>
              </w:rPr>
            </w:pPr>
            <w:r>
              <w:rPr>
                <w:sz w:val="20"/>
                <w:szCs w:val="20"/>
              </w:rPr>
              <w:t>39,570</w:t>
            </w:r>
          </w:p>
        </w:tc>
      </w:tr>
      <w:tr w:rsidR="003766DA" w14:paraId="15EFCF78" w14:textId="77777777" w:rsidTr="00AF1FD4">
        <w:trPr>
          <w:trHeight w:val="265"/>
        </w:trPr>
        <w:tc>
          <w:tcPr>
            <w:tcW w:w="1278" w:type="dxa"/>
            <w:tcBorders>
              <w:top w:val="dotted" w:sz="4" w:space="0" w:color="auto"/>
              <w:bottom w:val="dotted" w:sz="4" w:space="0" w:color="auto"/>
            </w:tcBorders>
            <w:vAlign w:val="center"/>
          </w:tcPr>
          <w:p w14:paraId="5D9A7664" w14:textId="77777777" w:rsidR="003766DA" w:rsidRDefault="003766DA" w:rsidP="00AF1FD4">
            <w:pPr>
              <w:pStyle w:val="NoSpacing"/>
              <w:jc w:val="center"/>
              <w:rPr>
                <w:sz w:val="20"/>
                <w:szCs w:val="20"/>
              </w:rPr>
            </w:pPr>
            <w:r>
              <w:rPr>
                <w:sz w:val="20"/>
                <w:szCs w:val="20"/>
              </w:rPr>
              <w:t>City</w:t>
            </w:r>
          </w:p>
        </w:tc>
        <w:tc>
          <w:tcPr>
            <w:tcW w:w="4917" w:type="dxa"/>
            <w:tcBorders>
              <w:top w:val="dotted" w:sz="4" w:space="0" w:color="auto"/>
              <w:bottom w:val="dotted" w:sz="4" w:space="0" w:color="auto"/>
            </w:tcBorders>
            <w:vAlign w:val="center"/>
          </w:tcPr>
          <w:p w14:paraId="09BCB85E" w14:textId="77777777" w:rsidR="003766DA" w:rsidRDefault="003766DA" w:rsidP="00AF1FD4">
            <w:pPr>
              <w:pStyle w:val="NoSpacing"/>
              <w:rPr>
                <w:sz w:val="20"/>
                <w:szCs w:val="20"/>
              </w:rPr>
            </w:pPr>
            <w:r>
              <w:rPr>
                <w:sz w:val="20"/>
                <w:szCs w:val="20"/>
              </w:rPr>
              <w:t xml:space="preserve">Measure 4: </w:t>
            </w:r>
            <w:r w:rsidRPr="00CE254C">
              <w:rPr>
                <w:sz w:val="20"/>
                <w:szCs w:val="20"/>
              </w:rPr>
              <w:t xml:space="preserve">Reduce Vehicle Miles Travelled </w:t>
            </w:r>
          </w:p>
        </w:tc>
        <w:tc>
          <w:tcPr>
            <w:tcW w:w="1127" w:type="dxa"/>
            <w:tcBorders>
              <w:top w:val="dotted" w:sz="4" w:space="0" w:color="auto"/>
              <w:bottom w:val="dotted" w:sz="4" w:space="0" w:color="auto"/>
            </w:tcBorders>
            <w:vAlign w:val="center"/>
          </w:tcPr>
          <w:p w14:paraId="27F9A00D" w14:textId="77777777" w:rsidR="003766DA" w:rsidRPr="00147CBA" w:rsidRDefault="003766DA" w:rsidP="00AF1FD4">
            <w:pPr>
              <w:pStyle w:val="NoSpacing"/>
              <w:jc w:val="center"/>
              <w:rPr>
                <w:sz w:val="20"/>
                <w:szCs w:val="20"/>
              </w:rPr>
            </w:pPr>
            <w:r>
              <w:rPr>
                <w:sz w:val="20"/>
                <w:szCs w:val="20"/>
              </w:rPr>
              <w:t>9,668</w:t>
            </w:r>
          </w:p>
        </w:tc>
        <w:tc>
          <w:tcPr>
            <w:tcW w:w="1127" w:type="dxa"/>
            <w:tcBorders>
              <w:top w:val="dotted" w:sz="4" w:space="0" w:color="auto"/>
              <w:bottom w:val="dotted" w:sz="4" w:space="0" w:color="auto"/>
            </w:tcBorders>
            <w:vAlign w:val="center"/>
          </w:tcPr>
          <w:p w14:paraId="2E7DEB84" w14:textId="77777777" w:rsidR="003766DA" w:rsidRPr="00147CBA" w:rsidRDefault="003766DA" w:rsidP="00AF1FD4">
            <w:pPr>
              <w:pStyle w:val="NoSpacing"/>
              <w:jc w:val="center"/>
              <w:rPr>
                <w:sz w:val="20"/>
                <w:szCs w:val="20"/>
              </w:rPr>
            </w:pPr>
            <w:r>
              <w:rPr>
                <w:sz w:val="20"/>
                <w:szCs w:val="20"/>
              </w:rPr>
              <w:t>10,645</w:t>
            </w:r>
          </w:p>
        </w:tc>
        <w:tc>
          <w:tcPr>
            <w:tcW w:w="1127" w:type="dxa"/>
            <w:tcBorders>
              <w:top w:val="dotted" w:sz="4" w:space="0" w:color="auto"/>
              <w:bottom w:val="dotted" w:sz="4" w:space="0" w:color="auto"/>
            </w:tcBorders>
            <w:vAlign w:val="center"/>
          </w:tcPr>
          <w:p w14:paraId="2FC0E3CC" w14:textId="77777777" w:rsidR="003766DA" w:rsidRPr="00147CBA" w:rsidRDefault="003766DA" w:rsidP="00AF1FD4">
            <w:pPr>
              <w:pStyle w:val="NoSpacing"/>
              <w:jc w:val="center"/>
              <w:rPr>
                <w:sz w:val="20"/>
                <w:szCs w:val="20"/>
              </w:rPr>
            </w:pPr>
            <w:r>
              <w:rPr>
                <w:sz w:val="20"/>
                <w:szCs w:val="20"/>
              </w:rPr>
              <w:t>12,954</w:t>
            </w:r>
          </w:p>
        </w:tc>
      </w:tr>
      <w:tr w:rsidR="003766DA" w14:paraId="43D179F8" w14:textId="77777777" w:rsidTr="00AF1FD4">
        <w:trPr>
          <w:trHeight w:val="265"/>
        </w:trPr>
        <w:tc>
          <w:tcPr>
            <w:tcW w:w="1278" w:type="dxa"/>
            <w:tcBorders>
              <w:top w:val="dotted" w:sz="4" w:space="0" w:color="auto"/>
              <w:bottom w:val="dotted" w:sz="4" w:space="0" w:color="auto"/>
            </w:tcBorders>
            <w:vAlign w:val="center"/>
          </w:tcPr>
          <w:p w14:paraId="2BF6F793" w14:textId="77777777" w:rsidR="003766DA" w:rsidRDefault="003766DA" w:rsidP="00AF1FD4">
            <w:pPr>
              <w:pStyle w:val="NoSpacing"/>
              <w:jc w:val="center"/>
              <w:rPr>
                <w:sz w:val="20"/>
                <w:szCs w:val="20"/>
              </w:rPr>
            </w:pPr>
            <w:r>
              <w:rPr>
                <w:sz w:val="20"/>
                <w:szCs w:val="20"/>
              </w:rPr>
              <w:t>City</w:t>
            </w:r>
          </w:p>
        </w:tc>
        <w:tc>
          <w:tcPr>
            <w:tcW w:w="4917" w:type="dxa"/>
            <w:tcBorders>
              <w:top w:val="dotted" w:sz="4" w:space="0" w:color="auto"/>
              <w:bottom w:val="dotted" w:sz="4" w:space="0" w:color="auto"/>
            </w:tcBorders>
            <w:vAlign w:val="center"/>
          </w:tcPr>
          <w:p w14:paraId="3C849918" w14:textId="77777777" w:rsidR="003766DA" w:rsidRDefault="003766DA" w:rsidP="00AF1FD4">
            <w:pPr>
              <w:pStyle w:val="NoSpacing"/>
              <w:rPr>
                <w:sz w:val="20"/>
                <w:szCs w:val="20"/>
              </w:rPr>
            </w:pPr>
            <w:r>
              <w:rPr>
                <w:sz w:val="20"/>
                <w:szCs w:val="20"/>
              </w:rPr>
              <w:t xml:space="preserve">Measure 5: </w:t>
            </w:r>
            <w:r w:rsidRPr="00CE254C">
              <w:rPr>
                <w:sz w:val="20"/>
                <w:szCs w:val="20"/>
              </w:rPr>
              <w:t xml:space="preserve">Reduce </w:t>
            </w:r>
            <w:r>
              <w:rPr>
                <w:sz w:val="20"/>
                <w:szCs w:val="20"/>
              </w:rPr>
              <w:t>Vehicle Ownership Per Household</w:t>
            </w:r>
          </w:p>
        </w:tc>
        <w:tc>
          <w:tcPr>
            <w:tcW w:w="1127" w:type="dxa"/>
            <w:tcBorders>
              <w:top w:val="dotted" w:sz="4" w:space="0" w:color="auto"/>
              <w:bottom w:val="dotted" w:sz="4" w:space="0" w:color="auto"/>
            </w:tcBorders>
            <w:vAlign w:val="center"/>
          </w:tcPr>
          <w:p w14:paraId="45F20DA0" w14:textId="77777777" w:rsidR="003766DA" w:rsidRPr="00147CBA" w:rsidRDefault="003766DA" w:rsidP="00AF1FD4">
            <w:pPr>
              <w:pStyle w:val="NoSpacing"/>
              <w:jc w:val="center"/>
              <w:rPr>
                <w:sz w:val="20"/>
                <w:szCs w:val="20"/>
              </w:rPr>
            </w:pPr>
            <w:r>
              <w:rPr>
                <w:sz w:val="20"/>
                <w:szCs w:val="20"/>
              </w:rPr>
              <w:t>8,357</w:t>
            </w:r>
          </w:p>
        </w:tc>
        <w:tc>
          <w:tcPr>
            <w:tcW w:w="1127" w:type="dxa"/>
            <w:tcBorders>
              <w:top w:val="dotted" w:sz="4" w:space="0" w:color="auto"/>
              <w:bottom w:val="dotted" w:sz="4" w:space="0" w:color="auto"/>
            </w:tcBorders>
            <w:vAlign w:val="center"/>
          </w:tcPr>
          <w:p w14:paraId="7201A025" w14:textId="77777777" w:rsidR="003766DA" w:rsidRPr="00147CBA" w:rsidRDefault="003766DA" w:rsidP="00AF1FD4">
            <w:pPr>
              <w:pStyle w:val="NoSpacing"/>
              <w:jc w:val="center"/>
              <w:rPr>
                <w:sz w:val="20"/>
                <w:szCs w:val="20"/>
              </w:rPr>
            </w:pPr>
            <w:r>
              <w:rPr>
                <w:sz w:val="20"/>
                <w:szCs w:val="20"/>
              </w:rPr>
              <w:t>9,202</w:t>
            </w:r>
          </w:p>
        </w:tc>
        <w:tc>
          <w:tcPr>
            <w:tcW w:w="1127" w:type="dxa"/>
            <w:tcBorders>
              <w:top w:val="dotted" w:sz="4" w:space="0" w:color="auto"/>
              <w:bottom w:val="dotted" w:sz="4" w:space="0" w:color="auto"/>
            </w:tcBorders>
            <w:vAlign w:val="center"/>
          </w:tcPr>
          <w:p w14:paraId="4369904C" w14:textId="77777777" w:rsidR="003766DA" w:rsidRPr="00147CBA" w:rsidRDefault="003766DA" w:rsidP="00AF1FD4">
            <w:pPr>
              <w:pStyle w:val="NoSpacing"/>
              <w:jc w:val="center"/>
              <w:rPr>
                <w:sz w:val="20"/>
                <w:szCs w:val="20"/>
              </w:rPr>
            </w:pPr>
            <w:r>
              <w:rPr>
                <w:sz w:val="20"/>
                <w:szCs w:val="20"/>
              </w:rPr>
              <w:t>11,198</w:t>
            </w:r>
          </w:p>
        </w:tc>
      </w:tr>
      <w:tr w:rsidR="003766DA" w14:paraId="2DE32DF5" w14:textId="77777777" w:rsidTr="00AF1FD4">
        <w:trPr>
          <w:trHeight w:val="265"/>
        </w:trPr>
        <w:tc>
          <w:tcPr>
            <w:tcW w:w="1278" w:type="dxa"/>
            <w:tcBorders>
              <w:top w:val="dotted" w:sz="4" w:space="0" w:color="auto"/>
              <w:bottom w:val="single" w:sz="4" w:space="0" w:color="auto"/>
            </w:tcBorders>
            <w:vAlign w:val="center"/>
          </w:tcPr>
          <w:p w14:paraId="5640E813" w14:textId="77777777" w:rsidR="003766DA" w:rsidRDefault="003766DA" w:rsidP="00AF1FD4">
            <w:pPr>
              <w:pStyle w:val="NoSpacing"/>
              <w:jc w:val="center"/>
              <w:rPr>
                <w:sz w:val="20"/>
                <w:szCs w:val="20"/>
              </w:rPr>
            </w:pPr>
            <w:r>
              <w:rPr>
                <w:sz w:val="20"/>
                <w:szCs w:val="20"/>
              </w:rPr>
              <w:t>City</w:t>
            </w:r>
          </w:p>
        </w:tc>
        <w:tc>
          <w:tcPr>
            <w:tcW w:w="4917" w:type="dxa"/>
            <w:tcBorders>
              <w:top w:val="dotted" w:sz="4" w:space="0" w:color="auto"/>
              <w:bottom w:val="single" w:sz="4" w:space="0" w:color="auto"/>
            </w:tcBorders>
            <w:vAlign w:val="center"/>
          </w:tcPr>
          <w:p w14:paraId="1313F799" w14:textId="77777777" w:rsidR="003766DA" w:rsidRPr="00CE254C" w:rsidRDefault="003766DA" w:rsidP="00AF1FD4">
            <w:pPr>
              <w:pStyle w:val="NoSpacing"/>
            </w:pPr>
            <w:r>
              <w:rPr>
                <w:sz w:val="20"/>
                <w:szCs w:val="20"/>
              </w:rPr>
              <w:t>Measure 6:</w:t>
            </w:r>
            <w:r>
              <w:t xml:space="preserve"> </w:t>
            </w:r>
            <w:r w:rsidRPr="00CE254C">
              <w:rPr>
                <w:sz w:val="20"/>
                <w:szCs w:val="20"/>
              </w:rPr>
              <w:t xml:space="preserve">Reduce Residential Waste </w:t>
            </w:r>
          </w:p>
        </w:tc>
        <w:tc>
          <w:tcPr>
            <w:tcW w:w="1127" w:type="dxa"/>
            <w:tcBorders>
              <w:top w:val="dotted" w:sz="4" w:space="0" w:color="auto"/>
              <w:bottom w:val="single" w:sz="4" w:space="0" w:color="auto"/>
            </w:tcBorders>
            <w:vAlign w:val="center"/>
          </w:tcPr>
          <w:p w14:paraId="000E6222" w14:textId="77777777" w:rsidR="003766DA" w:rsidRPr="00147CBA" w:rsidRDefault="003766DA" w:rsidP="00AF1FD4">
            <w:pPr>
              <w:pStyle w:val="NoSpacing"/>
              <w:jc w:val="center"/>
              <w:rPr>
                <w:sz w:val="20"/>
                <w:szCs w:val="20"/>
              </w:rPr>
            </w:pPr>
            <w:r>
              <w:rPr>
                <w:sz w:val="20"/>
                <w:szCs w:val="20"/>
              </w:rPr>
              <w:t>9,681</w:t>
            </w:r>
          </w:p>
        </w:tc>
        <w:tc>
          <w:tcPr>
            <w:tcW w:w="1127" w:type="dxa"/>
            <w:tcBorders>
              <w:top w:val="dotted" w:sz="4" w:space="0" w:color="auto"/>
              <w:bottom w:val="single" w:sz="4" w:space="0" w:color="auto"/>
            </w:tcBorders>
            <w:vAlign w:val="center"/>
          </w:tcPr>
          <w:p w14:paraId="42D752A5" w14:textId="77777777" w:rsidR="003766DA" w:rsidRPr="00147CBA" w:rsidRDefault="003766DA" w:rsidP="00AF1FD4">
            <w:pPr>
              <w:pStyle w:val="NoSpacing"/>
              <w:jc w:val="center"/>
              <w:rPr>
                <w:sz w:val="20"/>
                <w:szCs w:val="20"/>
              </w:rPr>
            </w:pPr>
            <w:r>
              <w:rPr>
                <w:sz w:val="20"/>
                <w:szCs w:val="20"/>
              </w:rPr>
              <w:t>13,264</w:t>
            </w:r>
          </w:p>
        </w:tc>
        <w:tc>
          <w:tcPr>
            <w:tcW w:w="1127" w:type="dxa"/>
            <w:tcBorders>
              <w:top w:val="dotted" w:sz="4" w:space="0" w:color="auto"/>
              <w:bottom w:val="single" w:sz="4" w:space="0" w:color="auto"/>
            </w:tcBorders>
            <w:vAlign w:val="center"/>
          </w:tcPr>
          <w:p w14:paraId="598A68CC" w14:textId="77777777" w:rsidR="003766DA" w:rsidRPr="00147CBA" w:rsidRDefault="003766DA" w:rsidP="00AF1FD4">
            <w:pPr>
              <w:pStyle w:val="NoSpacing"/>
              <w:jc w:val="center"/>
              <w:rPr>
                <w:sz w:val="20"/>
                <w:szCs w:val="20"/>
              </w:rPr>
            </w:pPr>
            <w:r>
              <w:rPr>
                <w:sz w:val="20"/>
                <w:szCs w:val="20"/>
              </w:rPr>
              <w:t>17,902</w:t>
            </w:r>
          </w:p>
        </w:tc>
      </w:tr>
      <w:tr w:rsidR="003766DA" w14:paraId="6F47CED2" w14:textId="77777777" w:rsidTr="00AF1FD4">
        <w:trPr>
          <w:trHeight w:val="265"/>
        </w:trPr>
        <w:tc>
          <w:tcPr>
            <w:tcW w:w="1278" w:type="dxa"/>
            <w:tcBorders>
              <w:top w:val="single" w:sz="4" w:space="0" w:color="auto"/>
              <w:bottom w:val="single" w:sz="4" w:space="0" w:color="auto"/>
            </w:tcBorders>
            <w:vAlign w:val="center"/>
          </w:tcPr>
          <w:p w14:paraId="7F66CD4B" w14:textId="77777777" w:rsidR="003766DA" w:rsidRPr="00CE254C" w:rsidRDefault="003766DA" w:rsidP="00AF1FD4">
            <w:pPr>
              <w:pStyle w:val="NoSpacing"/>
              <w:jc w:val="center"/>
              <w:rPr>
                <w:b/>
                <w:bCs/>
                <w:sz w:val="20"/>
                <w:szCs w:val="20"/>
              </w:rPr>
            </w:pPr>
            <w:r w:rsidRPr="00CE254C">
              <w:rPr>
                <w:b/>
                <w:bCs/>
                <w:sz w:val="20"/>
                <w:szCs w:val="20"/>
              </w:rPr>
              <w:t>City</w:t>
            </w:r>
          </w:p>
        </w:tc>
        <w:tc>
          <w:tcPr>
            <w:tcW w:w="4917" w:type="dxa"/>
            <w:tcBorders>
              <w:top w:val="single" w:sz="4" w:space="0" w:color="auto"/>
              <w:bottom w:val="single" w:sz="4" w:space="0" w:color="auto"/>
            </w:tcBorders>
            <w:vAlign w:val="center"/>
          </w:tcPr>
          <w:p w14:paraId="25DEA66A" w14:textId="77777777" w:rsidR="003766DA" w:rsidRPr="00CE254C" w:rsidRDefault="003766DA" w:rsidP="00AF1FD4">
            <w:pPr>
              <w:pStyle w:val="NoSpacing"/>
              <w:rPr>
                <w:b/>
                <w:bCs/>
                <w:sz w:val="20"/>
                <w:szCs w:val="20"/>
              </w:rPr>
            </w:pPr>
            <w:r w:rsidRPr="00CE254C">
              <w:rPr>
                <w:b/>
                <w:bCs/>
                <w:sz w:val="20"/>
                <w:szCs w:val="20"/>
              </w:rPr>
              <w:t>All City Measures</w:t>
            </w:r>
          </w:p>
        </w:tc>
        <w:tc>
          <w:tcPr>
            <w:tcW w:w="1127" w:type="dxa"/>
            <w:tcBorders>
              <w:top w:val="single" w:sz="4" w:space="0" w:color="auto"/>
              <w:bottom w:val="single" w:sz="4" w:space="0" w:color="auto"/>
            </w:tcBorders>
            <w:vAlign w:val="center"/>
          </w:tcPr>
          <w:p w14:paraId="69A30733" w14:textId="77777777" w:rsidR="003766DA" w:rsidRPr="00CE254C" w:rsidRDefault="003766DA" w:rsidP="00AF1FD4">
            <w:pPr>
              <w:pStyle w:val="NoSpacing"/>
              <w:jc w:val="center"/>
              <w:rPr>
                <w:b/>
                <w:bCs/>
                <w:sz w:val="20"/>
                <w:szCs w:val="20"/>
              </w:rPr>
            </w:pPr>
            <w:r>
              <w:rPr>
                <w:b/>
                <w:bCs/>
                <w:sz w:val="20"/>
                <w:szCs w:val="20"/>
              </w:rPr>
              <w:t>330,727</w:t>
            </w:r>
          </w:p>
        </w:tc>
        <w:tc>
          <w:tcPr>
            <w:tcW w:w="1127" w:type="dxa"/>
            <w:tcBorders>
              <w:top w:val="single" w:sz="4" w:space="0" w:color="auto"/>
              <w:bottom w:val="single" w:sz="4" w:space="0" w:color="auto"/>
            </w:tcBorders>
            <w:vAlign w:val="center"/>
          </w:tcPr>
          <w:p w14:paraId="2E580F70" w14:textId="77777777" w:rsidR="003766DA" w:rsidRPr="00CE254C" w:rsidRDefault="003766DA" w:rsidP="00AF1FD4">
            <w:pPr>
              <w:pStyle w:val="NoSpacing"/>
              <w:jc w:val="center"/>
              <w:rPr>
                <w:b/>
                <w:bCs/>
                <w:sz w:val="20"/>
                <w:szCs w:val="20"/>
              </w:rPr>
            </w:pPr>
            <w:r>
              <w:rPr>
                <w:b/>
                <w:bCs/>
                <w:sz w:val="20"/>
                <w:szCs w:val="20"/>
              </w:rPr>
              <w:t>577,535</w:t>
            </w:r>
          </w:p>
        </w:tc>
        <w:tc>
          <w:tcPr>
            <w:tcW w:w="1127" w:type="dxa"/>
            <w:tcBorders>
              <w:top w:val="single" w:sz="4" w:space="0" w:color="auto"/>
              <w:bottom w:val="single" w:sz="4" w:space="0" w:color="auto"/>
            </w:tcBorders>
            <w:vAlign w:val="center"/>
          </w:tcPr>
          <w:p w14:paraId="03550259" w14:textId="77777777" w:rsidR="003766DA" w:rsidRPr="00CE254C" w:rsidRDefault="003766DA" w:rsidP="00AF1FD4">
            <w:pPr>
              <w:pStyle w:val="NoSpacing"/>
              <w:jc w:val="center"/>
              <w:rPr>
                <w:b/>
                <w:bCs/>
                <w:sz w:val="20"/>
                <w:szCs w:val="20"/>
              </w:rPr>
            </w:pPr>
            <w:r>
              <w:rPr>
                <w:b/>
                <w:bCs/>
                <w:sz w:val="20"/>
                <w:szCs w:val="20"/>
              </w:rPr>
              <w:t>577,586</w:t>
            </w:r>
          </w:p>
        </w:tc>
      </w:tr>
      <w:tr w:rsidR="003766DA" w14:paraId="2744F473" w14:textId="77777777" w:rsidTr="00AF1FD4">
        <w:trPr>
          <w:trHeight w:val="265"/>
        </w:trPr>
        <w:tc>
          <w:tcPr>
            <w:tcW w:w="1278" w:type="dxa"/>
            <w:tcBorders>
              <w:top w:val="single" w:sz="4" w:space="0" w:color="auto"/>
            </w:tcBorders>
            <w:vAlign w:val="center"/>
          </w:tcPr>
          <w:p w14:paraId="30D63ADD" w14:textId="77777777" w:rsidR="003766DA" w:rsidRPr="00CE254C" w:rsidRDefault="003766DA" w:rsidP="00AF1FD4">
            <w:pPr>
              <w:pStyle w:val="NoSpacing"/>
              <w:jc w:val="center"/>
              <w:rPr>
                <w:b/>
                <w:bCs/>
                <w:sz w:val="20"/>
                <w:szCs w:val="20"/>
              </w:rPr>
            </w:pPr>
            <w:r>
              <w:rPr>
                <w:b/>
                <w:bCs/>
                <w:sz w:val="20"/>
                <w:szCs w:val="20"/>
              </w:rPr>
              <w:t>State + City</w:t>
            </w:r>
          </w:p>
        </w:tc>
        <w:tc>
          <w:tcPr>
            <w:tcW w:w="4917" w:type="dxa"/>
            <w:tcBorders>
              <w:top w:val="single" w:sz="4" w:space="0" w:color="auto"/>
            </w:tcBorders>
            <w:vAlign w:val="center"/>
          </w:tcPr>
          <w:p w14:paraId="259D0255" w14:textId="77777777" w:rsidR="003766DA" w:rsidRPr="00CE254C" w:rsidRDefault="003766DA" w:rsidP="00AF1FD4">
            <w:pPr>
              <w:pStyle w:val="NoSpacing"/>
              <w:rPr>
                <w:b/>
                <w:bCs/>
                <w:sz w:val="20"/>
                <w:szCs w:val="20"/>
              </w:rPr>
            </w:pPr>
            <w:r>
              <w:rPr>
                <w:b/>
                <w:bCs/>
                <w:sz w:val="20"/>
                <w:szCs w:val="20"/>
              </w:rPr>
              <w:t>All State &amp; City Measures</w:t>
            </w:r>
          </w:p>
        </w:tc>
        <w:tc>
          <w:tcPr>
            <w:tcW w:w="1127" w:type="dxa"/>
            <w:tcBorders>
              <w:top w:val="single" w:sz="4" w:space="0" w:color="auto"/>
            </w:tcBorders>
            <w:vAlign w:val="center"/>
          </w:tcPr>
          <w:p w14:paraId="136F4CC0" w14:textId="77777777" w:rsidR="003766DA" w:rsidRDefault="003766DA" w:rsidP="00AF1FD4">
            <w:pPr>
              <w:pStyle w:val="NoSpacing"/>
              <w:jc w:val="center"/>
              <w:rPr>
                <w:b/>
                <w:bCs/>
                <w:sz w:val="20"/>
                <w:szCs w:val="20"/>
              </w:rPr>
            </w:pPr>
            <w:r>
              <w:rPr>
                <w:b/>
                <w:bCs/>
                <w:sz w:val="20"/>
                <w:szCs w:val="20"/>
              </w:rPr>
              <w:t>507,945</w:t>
            </w:r>
          </w:p>
        </w:tc>
        <w:tc>
          <w:tcPr>
            <w:tcW w:w="1127" w:type="dxa"/>
            <w:tcBorders>
              <w:top w:val="single" w:sz="4" w:space="0" w:color="auto"/>
            </w:tcBorders>
            <w:vAlign w:val="center"/>
          </w:tcPr>
          <w:p w14:paraId="2FE01B5F" w14:textId="77777777" w:rsidR="003766DA" w:rsidRDefault="003766DA" w:rsidP="00AF1FD4">
            <w:pPr>
              <w:pStyle w:val="NoSpacing"/>
              <w:jc w:val="center"/>
              <w:rPr>
                <w:b/>
                <w:bCs/>
                <w:sz w:val="20"/>
                <w:szCs w:val="20"/>
              </w:rPr>
            </w:pPr>
            <w:r>
              <w:rPr>
                <w:b/>
                <w:bCs/>
                <w:sz w:val="20"/>
                <w:szCs w:val="20"/>
              </w:rPr>
              <w:t>840,723</w:t>
            </w:r>
          </w:p>
        </w:tc>
        <w:tc>
          <w:tcPr>
            <w:tcW w:w="1127" w:type="dxa"/>
            <w:tcBorders>
              <w:top w:val="single" w:sz="4" w:space="0" w:color="auto"/>
            </w:tcBorders>
            <w:vAlign w:val="center"/>
          </w:tcPr>
          <w:p w14:paraId="4386D923" w14:textId="77777777" w:rsidR="003766DA" w:rsidRDefault="003766DA" w:rsidP="00AF1FD4">
            <w:pPr>
              <w:pStyle w:val="NoSpacing"/>
              <w:jc w:val="center"/>
              <w:rPr>
                <w:b/>
                <w:bCs/>
                <w:sz w:val="20"/>
                <w:szCs w:val="20"/>
              </w:rPr>
            </w:pPr>
            <w:r>
              <w:rPr>
                <w:b/>
                <w:bCs/>
                <w:sz w:val="20"/>
                <w:szCs w:val="20"/>
              </w:rPr>
              <w:t>926,942</w:t>
            </w:r>
          </w:p>
        </w:tc>
      </w:tr>
    </w:tbl>
    <w:p w14:paraId="1B62A65D" w14:textId="77777777" w:rsidR="003766DA" w:rsidRDefault="003766DA" w:rsidP="003766DA">
      <w:pPr>
        <w:pStyle w:val="ParaText"/>
      </w:pPr>
    </w:p>
    <w:p w14:paraId="3294F54F" w14:textId="24C8D6BA" w:rsidR="003766DA" w:rsidRDefault="003766DA" w:rsidP="003766DA">
      <w:pPr>
        <w:pStyle w:val="ParaText"/>
      </w:pPr>
      <w:r w:rsidRPr="004537D3">
        <w:rPr>
          <w:sz w:val="28"/>
        </w:rPr>
        <w:fldChar w:fldCharType="begin"/>
      </w:r>
      <w:r w:rsidRPr="004537D3">
        <w:rPr>
          <w:sz w:val="28"/>
        </w:rPr>
        <w:instrText xml:space="preserve"> REF _Ref477524165 \h  \* MERGEFORMAT </w:instrText>
      </w:r>
      <w:r w:rsidRPr="004537D3">
        <w:rPr>
          <w:sz w:val="28"/>
        </w:rPr>
      </w:r>
      <w:r w:rsidRPr="004537D3">
        <w:rPr>
          <w:sz w:val="28"/>
        </w:rPr>
        <w:fldChar w:fldCharType="separate"/>
      </w:r>
      <w:r w:rsidR="004537D3" w:rsidRPr="004537D3">
        <w:rPr>
          <w:noProof/>
          <w:sz w:val="24"/>
        </w:rPr>
        <w:t>Table</w:t>
      </w:r>
      <w:r w:rsidR="004537D3" w:rsidRPr="004537D3">
        <w:t xml:space="preserve"> </w:t>
      </w:r>
      <w:r w:rsidR="004537D3" w:rsidRPr="004537D3">
        <w:rPr>
          <w:noProof/>
        </w:rPr>
        <w:t>27</w:t>
      </w:r>
      <w:r w:rsidRPr="004537D3">
        <w:rPr>
          <w:sz w:val="28"/>
        </w:rPr>
        <w:fldChar w:fldCharType="end"/>
      </w:r>
      <w:r w:rsidRPr="004537D3">
        <w:rPr>
          <w:sz w:val="28"/>
        </w:rPr>
        <w:t xml:space="preserve"> </w:t>
      </w:r>
      <w:r>
        <w:rPr>
          <w:sz w:val="24"/>
        </w:rPr>
        <w:t xml:space="preserve">and </w:t>
      </w:r>
      <w:r w:rsidRPr="003766DA">
        <w:rPr>
          <w:sz w:val="28"/>
        </w:rPr>
        <w:fldChar w:fldCharType="begin"/>
      </w:r>
      <w:r w:rsidRPr="003766DA">
        <w:rPr>
          <w:sz w:val="28"/>
        </w:rPr>
        <w:instrText xml:space="preserve"> REF _Ref477768907 \h </w:instrText>
      </w:r>
      <w:r>
        <w:rPr>
          <w:sz w:val="28"/>
        </w:rPr>
        <w:instrText xml:space="preserve"> \* MERGEFORMAT </w:instrText>
      </w:r>
      <w:r w:rsidRPr="003766DA">
        <w:rPr>
          <w:sz w:val="28"/>
        </w:rPr>
      </w:r>
      <w:r w:rsidRPr="003766DA">
        <w:rPr>
          <w:sz w:val="28"/>
        </w:rPr>
        <w:fldChar w:fldCharType="separate"/>
      </w:r>
      <w:r w:rsidRPr="003766DA">
        <w:t xml:space="preserve">Figure </w:t>
      </w:r>
      <w:r w:rsidRPr="003766DA">
        <w:rPr>
          <w:noProof/>
        </w:rPr>
        <w:t>4</w:t>
      </w:r>
      <w:r w:rsidRPr="003766DA">
        <w:rPr>
          <w:sz w:val="28"/>
        </w:rPr>
        <w:fldChar w:fldCharType="end"/>
      </w:r>
      <w:r w:rsidRPr="003766DA">
        <w:rPr>
          <w:sz w:val="24"/>
        </w:rPr>
        <w:t xml:space="preserve"> </w:t>
      </w:r>
      <w:r>
        <w:t xml:space="preserve">summarize BAU emissions in the absence of State or City measures, the cumulative emissions avoided impact of State and City Measures, and the remaining emissions in Cambridge once all State and City Measures are implemented. </w:t>
      </w:r>
    </w:p>
    <w:p w14:paraId="1DE0D6E6" w14:textId="77777777" w:rsidR="00CD3629" w:rsidRDefault="00CD3629">
      <w:pPr>
        <w:spacing w:after="200" w:line="276" w:lineRule="auto"/>
        <w:rPr>
          <w:rFonts w:ascii="Arial" w:hAnsi="Arial" w:cs="Arial"/>
          <w:b/>
          <w:bCs/>
          <w:sz w:val="20"/>
          <w:szCs w:val="24"/>
          <w:lang w:val="en-US"/>
        </w:rPr>
      </w:pPr>
      <w:bookmarkStart w:id="71" w:name="_Ref477524165"/>
      <w:r>
        <w:rPr>
          <w:sz w:val="20"/>
        </w:rPr>
        <w:br w:type="page"/>
      </w:r>
    </w:p>
    <w:p w14:paraId="1793A208" w14:textId="47E25996" w:rsidR="003766DA" w:rsidRPr="003766DA" w:rsidRDefault="003766DA" w:rsidP="003766DA">
      <w:pPr>
        <w:pStyle w:val="Caption"/>
        <w:rPr>
          <w:sz w:val="20"/>
        </w:rPr>
      </w:pPr>
      <w:r w:rsidRPr="003766DA">
        <w:rPr>
          <w:sz w:val="20"/>
        </w:rPr>
        <w:lastRenderedPageBreak/>
        <w:t xml:space="preserve">Table </w:t>
      </w:r>
      <w:r w:rsidRPr="003766DA">
        <w:rPr>
          <w:sz w:val="20"/>
        </w:rPr>
        <w:fldChar w:fldCharType="begin"/>
      </w:r>
      <w:r w:rsidRPr="003766DA">
        <w:rPr>
          <w:sz w:val="20"/>
        </w:rPr>
        <w:instrText xml:space="preserve"> SEQ Table \* ARABIC </w:instrText>
      </w:r>
      <w:r w:rsidRPr="003766DA">
        <w:rPr>
          <w:sz w:val="20"/>
        </w:rPr>
        <w:fldChar w:fldCharType="separate"/>
      </w:r>
      <w:r w:rsidR="00AD4785">
        <w:rPr>
          <w:noProof/>
          <w:sz w:val="20"/>
        </w:rPr>
        <w:t>27</w:t>
      </w:r>
      <w:r w:rsidRPr="003766DA">
        <w:rPr>
          <w:sz w:val="20"/>
        </w:rPr>
        <w:fldChar w:fldCharType="end"/>
      </w:r>
      <w:bookmarkEnd w:id="71"/>
      <w:r w:rsidRPr="003766DA">
        <w:rPr>
          <w:sz w:val="20"/>
        </w:rPr>
        <w:t>: 2030-2050 Emissions Forecast Factoring in S</w:t>
      </w:r>
      <w:r>
        <w:rPr>
          <w:sz w:val="20"/>
        </w:rPr>
        <w:t>t</w:t>
      </w:r>
      <w:r w:rsidRPr="003766DA">
        <w:rPr>
          <w:sz w:val="20"/>
        </w:rPr>
        <w:t>ate + City Measures</w:t>
      </w:r>
    </w:p>
    <w:tbl>
      <w:tblPr>
        <w:tblW w:w="9487"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5374"/>
        <w:gridCol w:w="1371"/>
        <w:gridCol w:w="1371"/>
        <w:gridCol w:w="1371"/>
      </w:tblGrid>
      <w:tr w:rsidR="003766DA" w14:paraId="286A1EC0" w14:textId="77777777" w:rsidTr="00AF1FD4">
        <w:trPr>
          <w:trHeight w:val="551"/>
          <w:jc w:val="center"/>
        </w:trPr>
        <w:tc>
          <w:tcPr>
            <w:tcW w:w="5374" w:type="dxa"/>
            <w:tcBorders>
              <w:top w:val="single" w:sz="4" w:space="0" w:color="auto"/>
              <w:bottom w:val="single" w:sz="4" w:space="0" w:color="auto"/>
            </w:tcBorders>
            <w:shd w:val="clear" w:color="auto" w:fill="548DD4" w:themeFill="text2" w:themeFillTint="99"/>
            <w:vAlign w:val="center"/>
          </w:tcPr>
          <w:p w14:paraId="15BBC794"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Category</w:t>
            </w:r>
          </w:p>
          <w:p w14:paraId="5FE434DB" w14:textId="77777777" w:rsidR="003766DA" w:rsidRPr="003A51F5" w:rsidRDefault="003766DA" w:rsidP="00AF1FD4">
            <w:pPr>
              <w:pStyle w:val="NoSpacing"/>
              <w:jc w:val="center"/>
              <w:rPr>
                <w:rFonts w:cstheme="majorBidi"/>
                <w:b/>
                <w:bCs/>
                <w:color w:val="FFFFFF" w:themeColor="background1"/>
                <w:sz w:val="20"/>
                <w:szCs w:val="20"/>
              </w:rPr>
            </w:pPr>
          </w:p>
        </w:tc>
        <w:tc>
          <w:tcPr>
            <w:tcW w:w="1371" w:type="dxa"/>
            <w:tcBorders>
              <w:top w:val="single" w:sz="4" w:space="0" w:color="auto"/>
              <w:bottom w:val="single" w:sz="4" w:space="0" w:color="auto"/>
            </w:tcBorders>
            <w:shd w:val="clear" w:color="auto" w:fill="548DD4" w:themeFill="text2" w:themeFillTint="99"/>
            <w:vAlign w:val="center"/>
          </w:tcPr>
          <w:p w14:paraId="50CCA952"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2030</w:t>
            </w:r>
          </w:p>
        </w:tc>
        <w:tc>
          <w:tcPr>
            <w:tcW w:w="1371" w:type="dxa"/>
            <w:tcBorders>
              <w:top w:val="single" w:sz="4" w:space="0" w:color="auto"/>
              <w:bottom w:val="single" w:sz="4" w:space="0" w:color="auto"/>
            </w:tcBorders>
            <w:shd w:val="clear" w:color="auto" w:fill="548DD4" w:themeFill="text2" w:themeFillTint="99"/>
            <w:vAlign w:val="center"/>
          </w:tcPr>
          <w:p w14:paraId="5688A0FB"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2040</w:t>
            </w:r>
          </w:p>
        </w:tc>
        <w:tc>
          <w:tcPr>
            <w:tcW w:w="1371" w:type="dxa"/>
            <w:tcBorders>
              <w:top w:val="single" w:sz="4" w:space="0" w:color="auto"/>
              <w:bottom w:val="single" w:sz="4" w:space="0" w:color="auto"/>
            </w:tcBorders>
            <w:shd w:val="clear" w:color="auto" w:fill="548DD4" w:themeFill="text2" w:themeFillTint="99"/>
            <w:vAlign w:val="center"/>
          </w:tcPr>
          <w:p w14:paraId="52949021" w14:textId="77777777" w:rsidR="003766DA" w:rsidRDefault="003766DA" w:rsidP="00AF1FD4">
            <w:pPr>
              <w:pStyle w:val="NoSpacing"/>
              <w:jc w:val="center"/>
              <w:rPr>
                <w:rFonts w:cstheme="majorBidi"/>
                <w:b/>
                <w:bCs/>
                <w:color w:val="FFFFFF" w:themeColor="background1"/>
                <w:sz w:val="20"/>
                <w:szCs w:val="20"/>
              </w:rPr>
            </w:pPr>
            <w:r>
              <w:rPr>
                <w:rFonts w:cstheme="majorBidi"/>
                <w:b/>
                <w:bCs/>
                <w:color w:val="FFFFFF" w:themeColor="background1"/>
                <w:sz w:val="20"/>
                <w:szCs w:val="20"/>
              </w:rPr>
              <w:t>2050</w:t>
            </w:r>
          </w:p>
        </w:tc>
      </w:tr>
      <w:tr w:rsidR="003766DA" w14:paraId="79B3999E" w14:textId="77777777" w:rsidTr="00AF1FD4">
        <w:trPr>
          <w:trHeight w:val="262"/>
          <w:jc w:val="center"/>
        </w:trPr>
        <w:tc>
          <w:tcPr>
            <w:tcW w:w="5374" w:type="dxa"/>
            <w:tcBorders>
              <w:top w:val="single" w:sz="4" w:space="0" w:color="auto"/>
              <w:bottom w:val="single" w:sz="4" w:space="0" w:color="auto"/>
            </w:tcBorders>
            <w:vAlign w:val="center"/>
          </w:tcPr>
          <w:p w14:paraId="0A2A80A6" w14:textId="77777777" w:rsidR="003766DA" w:rsidRDefault="003766DA" w:rsidP="00AF1FD4">
            <w:pPr>
              <w:pStyle w:val="NoSpacing"/>
              <w:rPr>
                <w:rFonts w:cstheme="majorBidi"/>
                <w:sz w:val="20"/>
                <w:szCs w:val="20"/>
              </w:rPr>
            </w:pPr>
            <w:r>
              <w:rPr>
                <w:rFonts w:cstheme="majorBidi"/>
                <w:sz w:val="20"/>
                <w:szCs w:val="20"/>
              </w:rPr>
              <w:t>Business-as-usual Emissions</w:t>
            </w:r>
          </w:p>
        </w:tc>
        <w:tc>
          <w:tcPr>
            <w:tcW w:w="1371" w:type="dxa"/>
            <w:tcBorders>
              <w:top w:val="single" w:sz="4" w:space="0" w:color="auto"/>
              <w:bottom w:val="single" w:sz="4" w:space="0" w:color="auto"/>
            </w:tcBorders>
            <w:vAlign w:val="center"/>
          </w:tcPr>
          <w:p w14:paraId="1B960C11" w14:textId="77777777" w:rsidR="003766DA" w:rsidRDefault="003766DA" w:rsidP="00AF1FD4">
            <w:pPr>
              <w:pStyle w:val="NoSpacing"/>
              <w:jc w:val="center"/>
              <w:rPr>
                <w:rFonts w:cstheme="majorBidi"/>
                <w:sz w:val="20"/>
                <w:szCs w:val="20"/>
              </w:rPr>
            </w:pPr>
            <w:r>
              <w:rPr>
                <w:rFonts w:cstheme="majorBidi"/>
                <w:sz w:val="20"/>
                <w:szCs w:val="20"/>
              </w:rPr>
              <w:t>1,677,284</w:t>
            </w:r>
          </w:p>
        </w:tc>
        <w:tc>
          <w:tcPr>
            <w:tcW w:w="1371" w:type="dxa"/>
            <w:tcBorders>
              <w:top w:val="single" w:sz="4" w:space="0" w:color="auto"/>
              <w:bottom w:val="single" w:sz="4" w:space="0" w:color="auto"/>
            </w:tcBorders>
            <w:vAlign w:val="center"/>
          </w:tcPr>
          <w:p w14:paraId="66599EA6" w14:textId="77777777" w:rsidR="003766DA" w:rsidRDefault="003766DA" w:rsidP="00AF1FD4">
            <w:pPr>
              <w:pStyle w:val="NoSpacing"/>
              <w:jc w:val="center"/>
              <w:rPr>
                <w:rFonts w:cstheme="majorBidi"/>
                <w:sz w:val="20"/>
                <w:szCs w:val="20"/>
              </w:rPr>
            </w:pPr>
            <w:r>
              <w:rPr>
                <w:rFonts w:cstheme="majorBidi"/>
                <w:sz w:val="20"/>
                <w:szCs w:val="20"/>
              </w:rPr>
              <w:t>1,734,681</w:t>
            </w:r>
          </w:p>
        </w:tc>
        <w:tc>
          <w:tcPr>
            <w:tcW w:w="1371" w:type="dxa"/>
            <w:tcBorders>
              <w:top w:val="single" w:sz="4" w:space="0" w:color="auto"/>
              <w:bottom w:val="single" w:sz="4" w:space="0" w:color="auto"/>
            </w:tcBorders>
            <w:vAlign w:val="center"/>
          </w:tcPr>
          <w:p w14:paraId="1728222B" w14:textId="77777777" w:rsidR="003766DA" w:rsidRDefault="003766DA" w:rsidP="00AF1FD4">
            <w:pPr>
              <w:pStyle w:val="NoSpacing"/>
              <w:jc w:val="center"/>
              <w:rPr>
                <w:rFonts w:cstheme="majorBidi"/>
                <w:sz w:val="20"/>
                <w:szCs w:val="20"/>
              </w:rPr>
            </w:pPr>
            <w:r>
              <w:rPr>
                <w:rFonts w:cstheme="majorBidi"/>
                <w:sz w:val="20"/>
                <w:szCs w:val="20"/>
              </w:rPr>
              <w:t>1,809,067</w:t>
            </w:r>
          </w:p>
        </w:tc>
      </w:tr>
      <w:tr w:rsidR="003766DA" w:rsidRPr="001F5582" w14:paraId="218BEA12" w14:textId="77777777" w:rsidTr="00AF1FD4">
        <w:trPr>
          <w:trHeight w:val="262"/>
          <w:jc w:val="center"/>
        </w:trPr>
        <w:tc>
          <w:tcPr>
            <w:tcW w:w="5374" w:type="dxa"/>
            <w:tcBorders>
              <w:top w:val="single" w:sz="4" w:space="0" w:color="auto"/>
              <w:bottom w:val="single" w:sz="4" w:space="0" w:color="auto"/>
            </w:tcBorders>
            <w:vAlign w:val="center"/>
          </w:tcPr>
          <w:p w14:paraId="7A1945F8" w14:textId="77777777" w:rsidR="003766DA" w:rsidRPr="001F5582" w:rsidRDefault="003766DA" w:rsidP="00AF1FD4">
            <w:pPr>
              <w:pStyle w:val="NoSpacing"/>
              <w:rPr>
                <w:rFonts w:cstheme="majorBidi"/>
                <w:sz w:val="20"/>
                <w:szCs w:val="20"/>
              </w:rPr>
            </w:pPr>
            <w:r>
              <w:rPr>
                <w:rFonts w:cstheme="majorBidi"/>
                <w:sz w:val="20"/>
                <w:szCs w:val="20"/>
              </w:rPr>
              <w:t>Emissions Avoided from State Measures</w:t>
            </w:r>
          </w:p>
        </w:tc>
        <w:tc>
          <w:tcPr>
            <w:tcW w:w="1371" w:type="dxa"/>
            <w:tcBorders>
              <w:top w:val="single" w:sz="4" w:space="0" w:color="auto"/>
              <w:bottom w:val="single" w:sz="4" w:space="0" w:color="auto"/>
            </w:tcBorders>
            <w:vAlign w:val="center"/>
          </w:tcPr>
          <w:p w14:paraId="369E39CC" w14:textId="77777777" w:rsidR="003766DA" w:rsidRPr="00B97C2E" w:rsidRDefault="003766DA" w:rsidP="00AF1FD4">
            <w:pPr>
              <w:pStyle w:val="NoSpacing"/>
              <w:jc w:val="center"/>
              <w:rPr>
                <w:rFonts w:cstheme="majorBidi"/>
                <w:sz w:val="20"/>
                <w:szCs w:val="20"/>
              </w:rPr>
            </w:pPr>
            <w:r w:rsidRPr="00B97C2E">
              <w:rPr>
                <w:sz w:val="20"/>
                <w:szCs w:val="20"/>
              </w:rPr>
              <w:t>-177,218</w:t>
            </w:r>
          </w:p>
        </w:tc>
        <w:tc>
          <w:tcPr>
            <w:tcW w:w="1371" w:type="dxa"/>
            <w:tcBorders>
              <w:top w:val="single" w:sz="4" w:space="0" w:color="auto"/>
              <w:bottom w:val="single" w:sz="4" w:space="0" w:color="auto"/>
            </w:tcBorders>
            <w:vAlign w:val="center"/>
          </w:tcPr>
          <w:p w14:paraId="6F1C26F1" w14:textId="77777777" w:rsidR="003766DA" w:rsidRPr="00B97C2E" w:rsidRDefault="003766DA" w:rsidP="00AF1FD4">
            <w:pPr>
              <w:pStyle w:val="NoSpacing"/>
              <w:jc w:val="center"/>
              <w:rPr>
                <w:rFonts w:cstheme="majorBidi"/>
                <w:sz w:val="20"/>
                <w:szCs w:val="20"/>
              </w:rPr>
            </w:pPr>
            <w:r w:rsidRPr="00B97C2E">
              <w:rPr>
                <w:sz w:val="20"/>
                <w:szCs w:val="20"/>
              </w:rPr>
              <w:t>-263,189</w:t>
            </w:r>
          </w:p>
        </w:tc>
        <w:tc>
          <w:tcPr>
            <w:tcW w:w="1371" w:type="dxa"/>
            <w:tcBorders>
              <w:top w:val="single" w:sz="4" w:space="0" w:color="auto"/>
              <w:bottom w:val="single" w:sz="4" w:space="0" w:color="auto"/>
            </w:tcBorders>
            <w:vAlign w:val="center"/>
          </w:tcPr>
          <w:p w14:paraId="260ED19B" w14:textId="77777777" w:rsidR="003766DA" w:rsidRPr="00B97C2E" w:rsidRDefault="003766DA" w:rsidP="00AF1FD4">
            <w:pPr>
              <w:pStyle w:val="NoSpacing"/>
              <w:jc w:val="center"/>
              <w:rPr>
                <w:rFonts w:cstheme="majorBidi"/>
                <w:sz w:val="20"/>
                <w:szCs w:val="20"/>
              </w:rPr>
            </w:pPr>
            <w:r w:rsidRPr="00B97C2E">
              <w:rPr>
                <w:sz w:val="20"/>
                <w:szCs w:val="20"/>
              </w:rPr>
              <w:t>-349,355</w:t>
            </w:r>
          </w:p>
        </w:tc>
      </w:tr>
      <w:tr w:rsidR="003766DA" w:rsidRPr="001F5582" w14:paraId="0F9C6E01" w14:textId="77777777" w:rsidTr="00AF1FD4">
        <w:trPr>
          <w:trHeight w:val="262"/>
          <w:jc w:val="center"/>
        </w:trPr>
        <w:tc>
          <w:tcPr>
            <w:tcW w:w="5374" w:type="dxa"/>
            <w:tcBorders>
              <w:top w:val="single" w:sz="4" w:space="0" w:color="auto"/>
              <w:bottom w:val="single" w:sz="4" w:space="0" w:color="auto"/>
            </w:tcBorders>
            <w:vAlign w:val="center"/>
          </w:tcPr>
          <w:p w14:paraId="0F9F8850" w14:textId="77777777" w:rsidR="003766DA" w:rsidRPr="001F5582" w:rsidRDefault="003766DA" w:rsidP="00AF1FD4">
            <w:pPr>
              <w:pStyle w:val="NoSpacing"/>
              <w:rPr>
                <w:rFonts w:cstheme="majorBidi"/>
                <w:sz w:val="20"/>
                <w:szCs w:val="20"/>
              </w:rPr>
            </w:pPr>
            <w:r>
              <w:rPr>
                <w:rFonts w:cstheme="majorBidi"/>
                <w:sz w:val="20"/>
                <w:szCs w:val="20"/>
              </w:rPr>
              <w:t>Emissions Avoided from City Measures</w:t>
            </w:r>
          </w:p>
        </w:tc>
        <w:tc>
          <w:tcPr>
            <w:tcW w:w="1371" w:type="dxa"/>
            <w:tcBorders>
              <w:top w:val="single" w:sz="4" w:space="0" w:color="auto"/>
              <w:bottom w:val="single" w:sz="4" w:space="0" w:color="auto"/>
            </w:tcBorders>
            <w:vAlign w:val="center"/>
          </w:tcPr>
          <w:p w14:paraId="763D1B62" w14:textId="77777777" w:rsidR="003766DA" w:rsidRPr="00B97C2E" w:rsidRDefault="003766DA" w:rsidP="00AF1FD4">
            <w:pPr>
              <w:pStyle w:val="NoSpacing"/>
              <w:jc w:val="center"/>
              <w:rPr>
                <w:rFonts w:cstheme="majorBidi"/>
                <w:sz w:val="20"/>
                <w:szCs w:val="20"/>
              </w:rPr>
            </w:pPr>
            <w:r w:rsidRPr="00B97C2E">
              <w:rPr>
                <w:sz w:val="20"/>
                <w:szCs w:val="20"/>
              </w:rPr>
              <w:t>-330,727</w:t>
            </w:r>
          </w:p>
        </w:tc>
        <w:tc>
          <w:tcPr>
            <w:tcW w:w="1371" w:type="dxa"/>
            <w:tcBorders>
              <w:top w:val="single" w:sz="4" w:space="0" w:color="auto"/>
              <w:bottom w:val="single" w:sz="4" w:space="0" w:color="auto"/>
            </w:tcBorders>
            <w:vAlign w:val="center"/>
          </w:tcPr>
          <w:p w14:paraId="215072E4" w14:textId="77777777" w:rsidR="003766DA" w:rsidRPr="00B97C2E" w:rsidRDefault="003766DA" w:rsidP="00AF1FD4">
            <w:pPr>
              <w:pStyle w:val="NoSpacing"/>
              <w:jc w:val="center"/>
              <w:rPr>
                <w:rFonts w:cstheme="majorBidi"/>
                <w:sz w:val="20"/>
                <w:szCs w:val="20"/>
              </w:rPr>
            </w:pPr>
            <w:r w:rsidRPr="00B97C2E">
              <w:rPr>
                <w:sz w:val="20"/>
                <w:szCs w:val="20"/>
              </w:rPr>
              <w:t>-577,535</w:t>
            </w:r>
          </w:p>
        </w:tc>
        <w:tc>
          <w:tcPr>
            <w:tcW w:w="1371" w:type="dxa"/>
            <w:tcBorders>
              <w:top w:val="single" w:sz="4" w:space="0" w:color="auto"/>
              <w:bottom w:val="single" w:sz="4" w:space="0" w:color="auto"/>
            </w:tcBorders>
            <w:vAlign w:val="center"/>
          </w:tcPr>
          <w:p w14:paraId="26546B13" w14:textId="77777777" w:rsidR="003766DA" w:rsidRPr="00B97C2E" w:rsidRDefault="003766DA" w:rsidP="00AF1FD4">
            <w:pPr>
              <w:pStyle w:val="NoSpacing"/>
              <w:jc w:val="center"/>
              <w:rPr>
                <w:rFonts w:cstheme="majorBidi"/>
                <w:sz w:val="20"/>
                <w:szCs w:val="20"/>
              </w:rPr>
            </w:pPr>
            <w:r w:rsidRPr="00B97C2E">
              <w:rPr>
                <w:sz w:val="20"/>
                <w:szCs w:val="20"/>
              </w:rPr>
              <w:t>-577,586</w:t>
            </w:r>
          </w:p>
        </w:tc>
      </w:tr>
      <w:tr w:rsidR="003766DA" w:rsidRPr="001F5582" w14:paraId="32EFBF88" w14:textId="77777777" w:rsidTr="00AF1FD4">
        <w:trPr>
          <w:trHeight w:val="262"/>
          <w:jc w:val="center"/>
        </w:trPr>
        <w:tc>
          <w:tcPr>
            <w:tcW w:w="5374" w:type="dxa"/>
            <w:tcBorders>
              <w:top w:val="single" w:sz="4" w:space="0" w:color="auto"/>
              <w:bottom w:val="single" w:sz="4" w:space="0" w:color="auto"/>
            </w:tcBorders>
            <w:vAlign w:val="center"/>
          </w:tcPr>
          <w:p w14:paraId="7F34D561" w14:textId="77777777" w:rsidR="003766DA" w:rsidRPr="001F5582" w:rsidRDefault="003766DA" w:rsidP="00AF1FD4">
            <w:pPr>
              <w:pStyle w:val="NoSpacing"/>
              <w:rPr>
                <w:rFonts w:cstheme="majorBidi"/>
                <w:sz w:val="20"/>
                <w:szCs w:val="20"/>
              </w:rPr>
            </w:pPr>
            <w:r>
              <w:rPr>
                <w:rFonts w:cstheme="majorBidi"/>
                <w:sz w:val="20"/>
                <w:szCs w:val="20"/>
              </w:rPr>
              <w:t>Remaining Emissions with State + City Measures Implemented</w:t>
            </w:r>
          </w:p>
        </w:tc>
        <w:tc>
          <w:tcPr>
            <w:tcW w:w="1371" w:type="dxa"/>
            <w:tcBorders>
              <w:top w:val="single" w:sz="4" w:space="0" w:color="auto"/>
              <w:bottom w:val="single" w:sz="4" w:space="0" w:color="auto"/>
            </w:tcBorders>
            <w:vAlign w:val="center"/>
          </w:tcPr>
          <w:p w14:paraId="28EAF335" w14:textId="77777777" w:rsidR="003766DA" w:rsidRPr="001F5582" w:rsidRDefault="003766DA" w:rsidP="00AF1FD4">
            <w:pPr>
              <w:pStyle w:val="NoSpacing"/>
              <w:jc w:val="center"/>
              <w:rPr>
                <w:rFonts w:cstheme="majorBidi"/>
                <w:sz w:val="20"/>
                <w:szCs w:val="20"/>
              </w:rPr>
            </w:pPr>
            <w:r>
              <w:rPr>
                <w:rFonts w:cstheme="majorBidi"/>
                <w:sz w:val="20"/>
                <w:szCs w:val="20"/>
              </w:rPr>
              <w:t>1,169,339</w:t>
            </w:r>
          </w:p>
        </w:tc>
        <w:tc>
          <w:tcPr>
            <w:tcW w:w="1371" w:type="dxa"/>
            <w:tcBorders>
              <w:top w:val="single" w:sz="4" w:space="0" w:color="auto"/>
              <w:bottom w:val="single" w:sz="4" w:space="0" w:color="auto"/>
            </w:tcBorders>
            <w:vAlign w:val="center"/>
          </w:tcPr>
          <w:p w14:paraId="58811397" w14:textId="77777777" w:rsidR="003766DA" w:rsidRPr="001F5582" w:rsidRDefault="003766DA" w:rsidP="00AF1FD4">
            <w:pPr>
              <w:pStyle w:val="NoSpacing"/>
              <w:jc w:val="center"/>
              <w:rPr>
                <w:rFonts w:cstheme="majorBidi"/>
                <w:sz w:val="20"/>
                <w:szCs w:val="20"/>
              </w:rPr>
            </w:pPr>
            <w:r>
              <w:rPr>
                <w:rFonts w:cstheme="majorBidi"/>
                <w:sz w:val="20"/>
                <w:szCs w:val="20"/>
              </w:rPr>
              <w:t>893,958</w:t>
            </w:r>
          </w:p>
        </w:tc>
        <w:tc>
          <w:tcPr>
            <w:tcW w:w="1371" w:type="dxa"/>
            <w:tcBorders>
              <w:top w:val="single" w:sz="4" w:space="0" w:color="auto"/>
              <w:bottom w:val="single" w:sz="4" w:space="0" w:color="auto"/>
            </w:tcBorders>
            <w:vAlign w:val="center"/>
          </w:tcPr>
          <w:p w14:paraId="6AD971CD" w14:textId="77777777" w:rsidR="003766DA" w:rsidRPr="001F5582" w:rsidRDefault="003766DA" w:rsidP="00AF1FD4">
            <w:pPr>
              <w:pStyle w:val="NoSpacing"/>
              <w:jc w:val="center"/>
              <w:rPr>
                <w:rFonts w:cstheme="majorBidi"/>
                <w:sz w:val="20"/>
                <w:szCs w:val="20"/>
              </w:rPr>
            </w:pPr>
            <w:r>
              <w:rPr>
                <w:rFonts w:cstheme="majorBidi"/>
                <w:sz w:val="20"/>
                <w:szCs w:val="20"/>
              </w:rPr>
              <w:t>882,125</w:t>
            </w:r>
          </w:p>
        </w:tc>
      </w:tr>
    </w:tbl>
    <w:p w14:paraId="32939A33" w14:textId="77777777" w:rsidR="003766DA" w:rsidRDefault="003766DA" w:rsidP="003766DA">
      <w:pPr>
        <w:pStyle w:val="ParaText"/>
      </w:pPr>
    </w:p>
    <w:p w14:paraId="638F6F8A" w14:textId="6BCCC0D3" w:rsidR="003766DA" w:rsidRPr="003766DA" w:rsidRDefault="003766DA" w:rsidP="003766DA">
      <w:pPr>
        <w:pStyle w:val="Caption"/>
        <w:rPr>
          <w:sz w:val="20"/>
        </w:rPr>
      </w:pPr>
      <w:bookmarkStart w:id="72" w:name="_Ref477768907"/>
      <w:r w:rsidRPr="003766DA">
        <w:rPr>
          <w:sz w:val="20"/>
        </w:rPr>
        <w:t xml:space="preserve">Figure </w:t>
      </w:r>
      <w:r w:rsidRPr="003766DA">
        <w:rPr>
          <w:sz w:val="20"/>
        </w:rPr>
        <w:fldChar w:fldCharType="begin"/>
      </w:r>
      <w:r w:rsidRPr="003766DA">
        <w:rPr>
          <w:sz w:val="20"/>
        </w:rPr>
        <w:instrText xml:space="preserve"> SEQ Figure \* ARABIC </w:instrText>
      </w:r>
      <w:r w:rsidRPr="003766DA">
        <w:rPr>
          <w:sz w:val="20"/>
        </w:rPr>
        <w:fldChar w:fldCharType="separate"/>
      </w:r>
      <w:r>
        <w:rPr>
          <w:noProof/>
          <w:sz w:val="20"/>
        </w:rPr>
        <w:t>4</w:t>
      </w:r>
      <w:r w:rsidRPr="003766DA">
        <w:rPr>
          <w:sz w:val="20"/>
        </w:rPr>
        <w:fldChar w:fldCharType="end"/>
      </w:r>
      <w:bookmarkEnd w:id="72"/>
      <w:r w:rsidRPr="003766DA">
        <w:rPr>
          <w:sz w:val="20"/>
        </w:rPr>
        <w:t>: Forecasted Emissions for BAU, State Measures Only and State &amp; City Measures Scenarios for 2030, 2040 &amp; 2050</w:t>
      </w:r>
    </w:p>
    <w:p w14:paraId="0005E3B8" w14:textId="10B6F93F" w:rsidR="00F5030C" w:rsidRDefault="003766DA" w:rsidP="003766DA">
      <w:pPr>
        <w:pStyle w:val="ParaText"/>
      </w:pPr>
      <w:r>
        <w:rPr>
          <w:noProof/>
        </w:rPr>
        <w:drawing>
          <wp:inline distT="0" distB="0" distL="0" distR="0" wp14:anchorId="56849FE1" wp14:editId="6D9610B4">
            <wp:extent cx="5943600" cy="3747135"/>
            <wp:effectExtent l="0" t="0" r="0" b="5715"/>
            <wp:docPr id="9" name="Chart 9">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77AA46" w14:textId="4B5297D2" w:rsidR="00F4406D" w:rsidRDefault="00F4406D" w:rsidP="00F5030C">
      <w:pPr>
        <w:pStyle w:val="ParaText"/>
      </w:pPr>
    </w:p>
    <w:p w14:paraId="1D61C86C" w14:textId="77777777" w:rsidR="00F4406D" w:rsidRDefault="00F4406D" w:rsidP="00F5030C">
      <w:pPr>
        <w:pStyle w:val="ParaText"/>
      </w:pPr>
    </w:p>
    <w:p w14:paraId="13FB0A18" w14:textId="4FEADC48" w:rsidR="00F5030C" w:rsidRPr="00F5030C" w:rsidRDefault="00F5030C" w:rsidP="00F5030C">
      <w:pPr>
        <w:pStyle w:val="ParaText"/>
      </w:pPr>
    </w:p>
    <w:p w14:paraId="397ADF11" w14:textId="60156A5C" w:rsidR="00145CCC" w:rsidRPr="00F5030C" w:rsidRDefault="00145CCC" w:rsidP="009E3E19">
      <w:pPr>
        <w:pStyle w:val="ParaText"/>
      </w:pPr>
    </w:p>
    <w:p w14:paraId="034EAEF7" w14:textId="77777777" w:rsidR="00F5030C" w:rsidRDefault="00F5030C" w:rsidP="009E3E19">
      <w:pPr>
        <w:pStyle w:val="ParaText"/>
      </w:pPr>
    </w:p>
    <w:p w14:paraId="44D1ACBD" w14:textId="77777777" w:rsidR="00145CCC" w:rsidRPr="009E3E19" w:rsidRDefault="00145CCC" w:rsidP="009E3E19">
      <w:pPr>
        <w:pStyle w:val="ParaText"/>
      </w:pPr>
    </w:p>
    <w:p w14:paraId="02C7B143" w14:textId="77777777" w:rsidR="00907C9C" w:rsidRDefault="00907C9C" w:rsidP="00197484">
      <w:pPr>
        <w:pStyle w:val="ParaText"/>
      </w:pPr>
    </w:p>
    <w:p w14:paraId="1E089DA2" w14:textId="00377109" w:rsidR="00F96997" w:rsidRPr="00197484" w:rsidRDefault="00F96997" w:rsidP="00197484">
      <w:pPr>
        <w:pStyle w:val="ParaText"/>
        <w:rPr>
          <w:b/>
          <w:bCs/>
        </w:rPr>
      </w:pPr>
      <w:r>
        <w:t xml:space="preserve"> </w:t>
      </w:r>
    </w:p>
    <w:p w14:paraId="3C0B68B8" w14:textId="77777777" w:rsidR="00443430" w:rsidRPr="00443430" w:rsidRDefault="00443430" w:rsidP="00443430">
      <w:pPr>
        <w:pStyle w:val="ParaText"/>
        <w:rPr>
          <w:lang w:val="en-GB"/>
        </w:rPr>
      </w:pPr>
    </w:p>
    <w:sectPr w:rsidR="00443430" w:rsidRPr="00443430" w:rsidSect="009E3E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67544" w14:textId="77777777" w:rsidR="00183E12" w:rsidRDefault="00183E12" w:rsidP="006D75B3">
      <w:r>
        <w:separator/>
      </w:r>
    </w:p>
  </w:endnote>
  <w:endnote w:type="continuationSeparator" w:id="0">
    <w:p w14:paraId="65964FA4" w14:textId="77777777" w:rsidR="00183E12" w:rsidRDefault="00183E12" w:rsidP="006D75B3">
      <w:r>
        <w:continuationSeparator/>
      </w:r>
    </w:p>
  </w:endnote>
  <w:endnote w:type="continuationNotice" w:id="1">
    <w:p w14:paraId="36340CC3" w14:textId="77777777" w:rsidR="00183E12" w:rsidRDefault="00183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233861"/>
      <w:docPartObj>
        <w:docPartGallery w:val="Page Numbers (Bottom of Page)"/>
        <w:docPartUnique/>
      </w:docPartObj>
    </w:sdtPr>
    <w:sdtEndPr>
      <w:rPr>
        <w:noProof/>
      </w:rPr>
    </w:sdtEndPr>
    <w:sdtContent>
      <w:p w14:paraId="3C0B68E6" w14:textId="10B65F12" w:rsidR="00FC7B56" w:rsidRDefault="00FC7B56">
        <w:pPr>
          <w:pStyle w:val="Footer"/>
          <w:jc w:val="center"/>
        </w:pPr>
        <w:r>
          <w:fldChar w:fldCharType="begin"/>
        </w:r>
        <w:r>
          <w:instrText xml:space="preserve"> PAGE   \* MERGEFORMAT </w:instrText>
        </w:r>
        <w:r>
          <w:fldChar w:fldCharType="separate"/>
        </w:r>
        <w:r w:rsidR="00A34F9D">
          <w:rPr>
            <w:noProof/>
          </w:rPr>
          <w:t>42</w:t>
        </w:r>
        <w:r>
          <w:rPr>
            <w:noProof/>
          </w:rPr>
          <w:fldChar w:fldCharType="end"/>
        </w:r>
        <w:r>
          <w:rPr>
            <w:noProof/>
          </w:rPr>
          <w:t>.</w:t>
        </w:r>
      </w:p>
    </w:sdtContent>
  </w:sdt>
  <w:p w14:paraId="3C0B68E7" w14:textId="77777777" w:rsidR="00FC7B56" w:rsidRDefault="00FC7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23B11" w14:textId="77777777" w:rsidR="00183E12" w:rsidRDefault="00183E12" w:rsidP="006D75B3">
      <w:r>
        <w:separator/>
      </w:r>
    </w:p>
  </w:footnote>
  <w:footnote w:type="continuationSeparator" w:id="0">
    <w:p w14:paraId="1EC4EF3F" w14:textId="77777777" w:rsidR="00183E12" w:rsidRDefault="00183E12" w:rsidP="006D75B3">
      <w:r>
        <w:continuationSeparator/>
      </w:r>
    </w:p>
  </w:footnote>
  <w:footnote w:type="continuationNotice" w:id="1">
    <w:p w14:paraId="1DD1EB72" w14:textId="77777777" w:rsidR="00183E12" w:rsidRDefault="00183E12"/>
  </w:footnote>
  <w:footnote w:id="2">
    <w:p w14:paraId="3C0B68F0" w14:textId="01279712" w:rsidR="00FC7B56" w:rsidRDefault="00FC7B56" w:rsidP="000C0978">
      <w:pPr>
        <w:pStyle w:val="FootnoteText"/>
      </w:pPr>
      <w:r w:rsidRPr="000C0978">
        <w:rPr>
          <w:rStyle w:val="FootnoteReference"/>
          <w:sz w:val="16"/>
          <w:szCs w:val="16"/>
        </w:rPr>
        <w:footnoteRef/>
      </w:r>
      <w:r w:rsidRPr="000C0978">
        <w:rPr>
          <w:sz w:val="16"/>
          <w:szCs w:val="16"/>
        </w:rPr>
        <w:t xml:space="preserve"> </w:t>
      </w:r>
      <w:r w:rsidRPr="00387494">
        <w:rPr>
          <w:rFonts w:ascii="Arial" w:hAnsi="Arial" w:cs="Arial"/>
          <w:color w:val="565A5C"/>
          <w:sz w:val="16"/>
          <w:szCs w:val="16"/>
          <w:shd w:val="clear" w:color="auto" w:fill="FFFFFF"/>
        </w:rPr>
        <w:t xml:space="preserve">The Global Covenant of Mayor’s for Climate and Energy is the new designation for </w:t>
      </w:r>
      <w:r>
        <w:rPr>
          <w:rFonts w:ascii="Arial" w:hAnsi="Arial" w:cs="Arial"/>
          <w:color w:val="565A5C"/>
          <w:sz w:val="16"/>
          <w:szCs w:val="16"/>
          <w:shd w:val="clear" w:color="auto" w:fill="FFFFFF"/>
        </w:rPr>
        <w:t>t</w:t>
      </w:r>
      <w:r w:rsidRPr="000C0978">
        <w:rPr>
          <w:rFonts w:ascii="Arial" w:hAnsi="Arial" w:cs="Arial"/>
          <w:color w:val="565A5C"/>
          <w:sz w:val="16"/>
          <w:szCs w:val="16"/>
          <w:shd w:val="clear" w:color="auto" w:fill="FFFFFF"/>
        </w:rPr>
        <w:t>he Compact of Mayors</w:t>
      </w:r>
      <w:r>
        <w:rPr>
          <w:rFonts w:ascii="Arial" w:hAnsi="Arial" w:cs="Arial"/>
          <w:color w:val="565A5C"/>
          <w:sz w:val="16"/>
          <w:szCs w:val="16"/>
          <w:shd w:val="clear" w:color="auto" w:fill="FFFFFF"/>
        </w:rPr>
        <w:t>. The Compact of Mayors</w:t>
      </w:r>
      <w:r w:rsidRPr="000C0978">
        <w:rPr>
          <w:rFonts w:ascii="Arial" w:hAnsi="Arial" w:cs="Arial"/>
          <w:color w:val="565A5C"/>
          <w:sz w:val="16"/>
          <w:szCs w:val="16"/>
          <w:shd w:val="clear" w:color="auto" w:fill="FFFFFF"/>
        </w:rPr>
        <w:t xml:space="preserve"> was launched by UN Secretary, C40 Cities Climate Leadership Group (C40), ICLEI – Local Governments for Sustainability (ICLEI) and the United Cities and Local Governments (UCLG) –with support from UN-Habitat, the UN’s lead agency on urban issues. </w:t>
      </w:r>
    </w:p>
  </w:footnote>
  <w:footnote w:id="3">
    <w:p w14:paraId="35B87652" w14:textId="77777777" w:rsidR="00FC7B56" w:rsidRDefault="00FC7B56" w:rsidP="00F6176F">
      <w:pPr>
        <w:pStyle w:val="FootnoteText"/>
      </w:pPr>
      <w:r>
        <w:rPr>
          <w:rStyle w:val="FootnoteReference"/>
        </w:rPr>
        <w:footnoteRef/>
      </w:r>
      <w:r w:rsidRPr="00F6176F">
        <w:t xml:space="preserve"> </w:t>
      </w:r>
      <w:r>
        <w:t xml:space="preserve">MassDEP. “Massachusetts Greenhouse Gas Inventory.” 2012. </w:t>
      </w:r>
      <w:r w:rsidRPr="00F6176F">
        <w:t>http://www.mass.gov/eea/air-water-climate-change/climate-change/massachusetts-global-warming-solutions-act/ma-ghg-emission-trends/</w:t>
      </w:r>
    </w:p>
  </w:footnote>
  <w:footnote w:id="4">
    <w:p w14:paraId="7D6C91C3" w14:textId="77777777" w:rsidR="00FC7B56" w:rsidRDefault="00FC7B56" w:rsidP="00751E69">
      <w:pPr>
        <w:pStyle w:val="FootnoteText"/>
        <w:spacing w:after="0"/>
        <w:ind w:left="0" w:firstLine="0"/>
      </w:pPr>
      <w:r>
        <w:rPr>
          <w:rStyle w:val="FootnoteReference"/>
        </w:rPr>
        <w:footnoteRef/>
      </w:r>
      <w:r>
        <w:t>ISO New England. “2012 ISO New England Electric Generator Air Emissions Report”</w:t>
      </w:r>
    </w:p>
    <w:p w14:paraId="4920DCC0" w14:textId="77777777" w:rsidR="00FC7B56" w:rsidRDefault="00FC7B56" w:rsidP="00751E69">
      <w:pPr>
        <w:pStyle w:val="FootnoteText"/>
        <w:spacing w:after="0"/>
        <w:ind w:left="0" w:firstLine="0"/>
      </w:pPr>
      <w:r>
        <w:t xml:space="preserve"> </w:t>
      </w:r>
      <w:r w:rsidRPr="000327A3">
        <w:t>www.iso-ne.com/static-assets/documents/genrtion_resrcs/reports/emission/2012_emissions_report_final_v2.pdf</w:t>
      </w:r>
    </w:p>
  </w:footnote>
  <w:footnote w:id="5">
    <w:p w14:paraId="30DA6834" w14:textId="77777777" w:rsidR="00FC7B56" w:rsidRDefault="00FC7B56" w:rsidP="00DC1D22">
      <w:pPr>
        <w:pStyle w:val="FootnoteText"/>
        <w:jc w:val="left"/>
      </w:pPr>
      <w:r>
        <w:rPr>
          <w:rStyle w:val="FootnoteReference"/>
        </w:rPr>
        <w:footnoteRef/>
      </w:r>
      <w:r>
        <w:t xml:space="preserve"> EPA. “</w:t>
      </w:r>
      <w:proofErr w:type="spellStart"/>
      <w:r>
        <w:t>eGRID</w:t>
      </w:r>
      <w:proofErr w:type="spellEnd"/>
      <w:r>
        <w:t xml:space="preserve">: Technical Support Document for </w:t>
      </w:r>
      <w:proofErr w:type="spellStart"/>
      <w:r>
        <w:t>eGRID</w:t>
      </w:r>
      <w:proofErr w:type="spellEnd"/>
      <w:r>
        <w:t xml:space="preserve"> with Year 2012 Data.” </w:t>
      </w:r>
      <w:r w:rsidRPr="00235F11">
        <w:t>https://www.epa.gov/sites/production/files/2015-10/documents/egrid2012_technicalsupportdocument.pdf</w:t>
      </w:r>
    </w:p>
  </w:footnote>
  <w:footnote w:id="6">
    <w:p w14:paraId="52D369E8" w14:textId="21942C15" w:rsidR="00FC7B56" w:rsidRDefault="00FC7B56">
      <w:pPr>
        <w:pStyle w:val="FootnoteText"/>
      </w:pPr>
      <w:r>
        <w:rPr>
          <w:rStyle w:val="FootnoteReference"/>
        </w:rPr>
        <w:footnoteRef/>
      </w:r>
      <w:r>
        <w:t xml:space="preserve"> 2015 Climate Registry Default Emissions Factors, released April 2015</w:t>
      </w:r>
    </w:p>
  </w:footnote>
  <w:footnote w:id="7">
    <w:p w14:paraId="4EFEAC5D" w14:textId="77777777" w:rsidR="00FC7B56" w:rsidRDefault="00FC7B56" w:rsidP="00396684">
      <w:pPr>
        <w:pStyle w:val="FootnoteText"/>
        <w:jc w:val="left"/>
      </w:pPr>
      <w:r>
        <w:rPr>
          <w:rStyle w:val="FootnoteReference"/>
        </w:rPr>
        <w:footnoteRef/>
      </w:r>
      <w:r>
        <w:t xml:space="preserve"> Executive Office of Labor and Workforce Development. “EOWLD ES-292 Employment and Wages Survey” </w:t>
      </w:r>
      <w:r w:rsidRPr="0008111A">
        <w:t>http://lmi2.detma.org/lmi/lmi_es_a.asp</w:t>
      </w:r>
    </w:p>
  </w:footnote>
  <w:footnote w:id="8">
    <w:p w14:paraId="468BA54F" w14:textId="77777777" w:rsidR="00FC7B56" w:rsidRDefault="00FC7B56" w:rsidP="002826CB">
      <w:pPr>
        <w:pStyle w:val="FootnoteText"/>
        <w:jc w:val="left"/>
      </w:pPr>
      <w:r>
        <w:rPr>
          <w:rStyle w:val="FootnoteReference"/>
        </w:rPr>
        <w:footnoteRef/>
      </w:r>
      <w:r>
        <w:t xml:space="preserve"> Executive Office of Labor and Workforce Development. “EOWLD ES-292 Employment and Wages Survey” </w:t>
      </w:r>
      <w:r w:rsidRPr="0008111A">
        <w:t>http://lmi2.detma.org/lmi/lmi_es_a.asp</w:t>
      </w:r>
    </w:p>
  </w:footnote>
  <w:footnote w:id="9">
    <w:p w14:paraId="41CAC9D9" w14:textId="744FB6ED" w:rsidR="00FC7B56" w:rsidRPr="0010270A" w:rsidRDefault="00FC7B56" w:rsidP="0010270A">
      <w:pPr>
        <w:pStyle w:val="FootnoteText"/>
      </w:pPr>
      <w:r>
        <w:rPr>
          <w:rStyle w:val="FootnoteReference"/>
        </w:rPr>
        <w:footnoteRef/>
      </w:r>
      <w:r>
        <w:t xml:space="preserve"> </w:t>
      </w:r>
      <w:r w:rsidRPr="0010270A">
        <w:t xml:space="preserve">Reardon, Timothy, Elizabeth Irvin, Susan Brunton, Meghan Hari, Paul </w:t>
      </w:r>
      <w:proofErr w:type="spellStart"/>
      <w:r w:rsidRPr="0010270A">
        <w:t>Reim</w:t>
      </w:r>
      <w:proofErr w:type="spellEnd"/>
      <w:r w:rsidRPr="0010270A">
        <w:t xml:space="preserve">, and Kenneth </w:t>
      </w:r>
      <w:proofErr w:type="spellStart"/>
      <w:r w:rsidRPr="0010270A">
        <w:t>Gillingham</w:t>
      </w:r>
      <w:proofErr w:type="spellEnd"/>
      <w:r w:rsidRPr="0010270A">
        <w:t>. 2015. “Quantifying Vehicle Miles Traveled from Motor Vehicle Inspection Data: The Massachusetts Vehicle Census.” Transportation Research Board.</w:t>
      </w:r>
    </w:p>
    <w:p w14:paraId="1A6AF6BF" w14:textId="5E291B19" w:rsidR="00FC7B56" w:rsidRDefault="00FC7B56">
      <w:pPr>
        <w:pStyle w:val="FootnoteText"/>
      </w:pPr>
    </w:p>
  </w:footnote>
  <w:footnote w:id="10">
    <w:p w14:paraId="6742536C" w14:textId="330C18FE" w:rsidR="00FC7B56" w:rsidRPr="00643706" w:rsidRDefault="00FC7B56" w:rsidP="00643706">
      <w:pPr>
        <w:pStyle w:val="FootnoteText"/>
      </w:pPr>
      <w:r>
        <w:rPr>
          <w:rStyle w:val="FootnoteReference"/>
        </w:rPr>
        <w:footnoteRef/>
      </w:r>
      <w:r>
        <w:t xml:space="preserve"> </w:t>
      </w:r>
      <w:r w:rsidRPr="00643706">
        <w:t>Social Explorer. 2016. “B08201. Household Size by Vehicles Available - American Community Survey Tables.” https://www.socialexplorer.com/data/ACS2013_5yr/metadata/?ds=ACS13_5yr&amp;table=B08201.</w:t>
      </w:r>
    </w:p>
    <w:p w14:paraId="02C729DE" w14:textId="1BCBAB37" w:rsidR="00FC7B56" w:rsidRDefault="00FC7B56">
      <w:pPr>
        <w:pStyle w:val="FootnoteText"/>
      </w:pPr>
    </w:p>
  </w:footnote>
  <w:footnote w:id="11">
    <w:p w14:paraId="7BC8C625" w14:textId="6825811F" w:rsidR="00FC7B56" w:rsidRDefault="00FC7B56">
      <w:pPr>
        <w:pStyle w:val="FootnoteText"/>
      </w:pPr>
      <w:r>
        <w:rPr>
          <w:rStyle w:val="FootnoteReference"/>
        </w:rPr>
        <w:footnoteRef/>
      </w:r>
      <w:r>
        <w:t xml:space="preserve"> City of Cambridge, CDD. 2012. “Electric Vehicle Charging Stations.” </w:t>
      </w:r>
    </w:p>
    <w:p w14:paraId="1DFD9287" w14:textId="3DA47F48" w:rsidR="00FC7B56" w:rsidRDefault="00FC7B56" w:rsidP="00DD7256">
      <w:pPr>
        <w:pStyle w:val="FootnoteText"/>
        <w:ind w:left="0" w:firstLine="0"/>
      </w:pPr>
      <w:r w:rsidRPr="00DD7256">
        <w:rPr>
          <w:lang w:val="en-GB"/>
        </w:rPr>
        <w:t>www.cambridgema.gov/CDD/News/2012/05/electricvehiclechargingstations.aspx</w:t>
      </w:r>
    </w:p>
  </w:footnote>
  <w:footnote w:id="12">
    <w:p w14:paraId="53E5E1D6" w14:textId="068A0FB0" w:rsidR="00FC7B56" w:rsidRPr="008724F4" w:rsidRDefault="00FC7B56" w:rsidP="005116A7">
      <w:pPr>
        <w:pStyle w:val="FootnoteText"/>
      </w:pPr>
      <w:r w:rsidRPr="008724F4">
        <w:rPr>
          <w:rStyle w:val="FootnoteReference"/>
        </w:rPr>
        <w:footnoteRef/>
      </w:r>
      <w:r w:rsidRPr="008724F4">
        <w:t xml:space="preserve"> This estimate was used in the City of Boston Greenhouse Gas Inventory 2005-2013, but it has not been verified by the MBTA, so it should be treated with caution and revisited as more information becomes available.</w:t>
      </w:r>
    </w:p>
  </w:footnote>
  <w:footnote w:id="13">
    <w:p w14:paraId="3515A117" w14:textId="77777777" w:rsidR="00FC7B56" w:rsidRPr="009F264C" w:rsidRDefault="00FC7B56" w:rsidP="005116A7">
      <w:pPr>
        <w:pStyle w:val="FootnoteText"/>
        <w:rPr>
          <w:rFonts w:ascii="Tw Cen MT" w:hAnsi="Tw Cen MT"/>
        </w:rPr>
      </w:pPr>
      <w:r w:rsidRPr="009F264C">
        <w:rPr>
          <w:rStyle w:val="FootnoteReference"/>
          <w:rFonts w:ascii="Tw Cen MT" w:hAnsi="Tw Cen MT"/>
        </w:rPr>
        <w:footnoteRef/>
      </w:r>
      <w:r w:rsidRPr="009F264C">
        <w:rPr>
          <w:rFonts w:ascii="Tw Cen MT" w:hAnsi="Tw Cen MT"/>
        </w:rPr>
        <w:t xml:space="preserve"> </w:t>
      </w:r>
      <w:r w:rsidRPr="008724F4">
        <w:rPr>
          <w:rFonts w:cstheme="majorBidi"/>
        </w:rPr>
        <w:t>This calculation assumes that electricity usage per vehicle mile traveled is roughly similar between heavy rail, light rail, and trackless trolley. Ideally, this value would be further weighted by an electricity efficiency factor.</w:t>
      </w:r>
    </w:p>
  </w:footnote>
  <w:footnote w:id="14">
    <w:p w14:paraId="19D1BABC" w14:textId="77777777" w:rsidR="00FC7B56" w:rsidRPr="008724F4" w:rsidRDefault="00FC7B56" w:rsidP="005116A7">
      <w:pPr>
        <w:pStyle w:val="FootnoteText"/>
        <w:rPr>
          <w:rFonts w:ascii="Tw Cen MT" w:hAnsi="Tw Cen MT"/>
        </w:rPr>
      </w:pPr>
      <w:r w:rsidRPr="008724F4">
        <w:rPr>
          <w:rStyle w:val="FootnoteReference"/>
          <w:rFonts w:ascii="Tw Cen MT" w:hAnsi="Tw Cen MT"/>
        </w:rPr>
        <w:footnoteRef/>
      </w:r>
      <w:r w:rsidRPr="008724F4">
        <w:rPr>
          <w:rFonts w:ascii="Tw Cen MT" w:hAnsi="Tw Cen MT"/>
        </w:rPr>
        <w:t xml:space="preserve"> </w:t>
      </w:r>
      <w:r w:rsidRPr="008724F4">
        <w:rPr>
          <w:rFonts w:cstheme="majorBidi"/>
        </w:rPr>
        <w:t>2012 was a leap year, which gave it one extra week day. Two holidays changed week day schedules to Saturday schedules, and five holidays changed week days to a Sunday schedule.</w:t>
      </w:r>
    </w:p>
  </w:footnote>
  <w:footnote w:id="15">
    <w:p w14:paraId="1DF58DCC" w14:textId="77777777" w:rsidR="00FC7B56" w:rsidRPr="008724F4" w:rsidRDefault="00FC7B56" w:rsidP="005116A7">
      <w:pPr>
        <w:pStyle w:val="FootnoteText"/>
      </w:pPr>
      <w:r w:rsidRPr="008724F4">
        <w:rPr>
          <w:rStyle w:val="FootnoteReference"/>
        </w:rPr>
        <w:footnoteRef/>
      </w:r>
      <w:r w:rsidRPr="008724F4">
        <w:t xml:space="preserve"> </w:t>
      </w:r>
      <w:r w:rsidRPr="008724F4">
        <w:rPr>
          <w:rFonts w:cstheme="majorBidi"/>
        </w:rPr>
        <w:t>Archived GTFS data can be found here: http://www.gtfs-data-exchange.com/agency/massachusetts-bay-transportation-authority/</w:t>
      </w:r>
    </w:p>
  </w:footnote>
  <w:footnote w:id="16">
    <w:p w14:paraId="704D9A3B" w14:textId="77777777" w:rsidR="00FC7B56" w:rsidRPr="008724F4" w:rsidRDefault="00FC7B56" w:rsidP="005116A7">
      <w:pPr>
        <w:pStyle w:val="FootnoteText"/>
        <w:rPr>
          <w:rFonts w:ascii="Times New Roman" w:hAnsi="Times New Roman"/>
          <w:sz w:val="22"/>
          <w:szCs w:val="22"/>
        </w:rPr>
      </w:pPr>
      <w:r w:rsidRPr="008724F4">
        <w:rPr>
          <w:rStyle w:val="FootnoteReference"/>
          <w:rFonts w:ascii="Times New Roman" w:hAnsi="Times New Roman"/>
          <w:sz w:val="22"/>
          <w:szCs w:val="22"/>
        </w:rPr>
        <w:footnoteRef/>
      </w:r>
      <w:r w:rsidRPr="008724F4">
        <w:rPr>
          <w:rFonts w:ascii="Times New Roman" w:hAnsi="Times New Roman"/>
          <w:sz w:val="22"/>
          <w:szCs w:val="22"/>
        </w:rPr>
        <w:t xml:space="preserve"> This calculation assumes a geographically even distribution of CNG and Diesel busses. The MBTA does not currently have estimates of fuel mix by bus line.</w:t>
      </w:r>
    </w:p>
  </w:footnote>
  <w:footnote w:id="17">
    <w:p w14:paraId="41A919A5" w14:textId="77777777" w:rsidR="00FC7B56" w:rsidRDefault="00FC7B56" w:rsidP="00D274CF">
      <w:pPr>
        <w:pStyle w:val="FootnoteText"/>
      </w:pPr>
      <w:r>
        <w:rPr>
          <w:rStyle w:val="FootnoteReference"/>
        </w:rPr>
        <w:footnoteRef/>
      </w:r>
      <w:r>
        <w:t xml:space="preserve"> County of Los Angeles, Dept. of Regional Planning, Vesting Tentative Tract No. 47905 (August, 1992)</w:t>
      </w:r>
    </w:p>
  </w:footnote>
  <w:footnote w:id="18">
    <w:p w14:paraId="516E586C" w14:textId="2963D219" w:rsidR="00FC7B56" w:rsidRDefault="00FC7B56" w:rsidP="00F83697">
      <w:pPr>
        <w:pStyle w:val="FootnoteText"/>
      </w:pPr>
      <w:r>
        <w:rPr>
          <w:rStyle w:val="FootnoteReference"/>
        </w:rPr>
        <w:footnoteRef/>
      </w:r>
      <w:r>
        <w:t xml:space="preserve"> </w:t>
      </w:r>
      <w:hyperlink r:id="rId1" w:history="1">
        <w:r>
          <w:rPr>
            <w:rStyle w:val="Hyperlink"/>
          </w:rPr>
          <w:t>EPA Inventory of U.S. Greenhouse Gas Emissions and Sinks, Domestic Wastewater N2O Emissions Estimates</w:t>
        </w:r>
      </w:hyperlink>
    </w:p>
  </w:footnote>
  <w:footnote w:id="19">
    <w:p w14:paraId="309E44A8" w14:textId="5D8F2F01" w:rsidR="00FC7B56" w:rsidRDefault="00FC7B56">
      <w:pPr>
        <w:pStyle w:val="FootnoteText"/>
      </w:pPr>
      <w:r>
        <w:rPr>
          <w:rStyle w:val="FootnoteReference"/>
        </w:rPr>
        <w:footnoteRef/>
      </w:r>
      <w:r>
        <w:t xml:space="preserve"> </w:t>
      </w:r>
      <w:r w:rsidRPr="00F5030C">
        <w:t>http://www.mass.gov/eea/docs/dep/air/laws/lev15freg.pdf</w:t>
      </w:r>
    </w:p>
  </w:footnote>
  <w:footnote w:id="20">
    <w:p w14:paraId="52153E3B" w14:textId="103B08B2" w:rsidR="00FC7B56" w:rsidRDefault="00FC7B56">
      <w:pPr>
        <w:pStyle w:val="FootnoteText"/>
      </w:pPr>
      <w:r>
        <w:rPr>
          <w:rStyle w:val="FootnoteReference"/>
        </w:rPr>
        <w:footnoteRef/>
      </w:r>
      <w:r>
        <w:t xml:space="preserve"> </w:t>
      </w:r>
      <w:r w:rsidRPr="005B0121">
        <w:t>http://www.fueleconomy.gov/</w:t>
      </w:r>
    </w:p>
  </w:footnote>
  <w:footnote w:id="21">
    <w:p w14:paraId="5F3865B5" w14:textId="45B5C2F8" w:rsidR="00FC7B56" w:rsidRDefault="00FC7B56">
      <w:pPr>
        <w:pStyle w:val="FootnoteText"/>
      </w:pPr>
      <w:r>
        <w:rPr>
          <w:rStyle w:val="FootnoteReference"/>
        </w:rPr>
        <w:footnoteRef/>
      </w:r>
      <w:r>
        <w:t xml:space="preserve"> Database of State Incentives for Renewable &amp; Efficiency (DSIRE) </w:t>
      </w:r>
      <w:r w:rsidRPr="005805B7">
        <w:t>http://ncsolarcen-prod.s3.amazonaws.com/wp-content/uploads/2014/11/Renewable-Portfolio-Standards.pdf</w:t>
      </w:r>
    </w:p>
  </w:footnote>
  <w:footnote w:id="22">
    <w:p w14:paraId="299AE770" w14:textId="3B4CC64E" w:rsidR="00FC7B56" w:rsidRDefault="00FC7B56">
      <w:pPr>
        <w:pStyle w:val="FootnoteText"/>
      </w:pPr>
      <w:r>
        <w:rPr>
          <w:rStyle w:val="FootnoteReference"/>
        </w:rPr>
        <w:footnoteRef/>
      </w:r>
      <w:r>
        <w:t xml:space="preserve"> Massachusetts Executive Office of Energy and Environmental Affairs, “RPS and APS Program Summaries” </w:t>
      </w:r>
      <w:r w:rsidRPr="00E93C61">
        <w:t>http://www.mass.gov/eea/energy-utilities-clean-tech/renewable-energy/rps-aps/rps-and-aps-program-summaries.html</w:t>
      </w:r>
    </w:p>
  </w:footnote>
  <w:footnote w:id="23">
    <w:p w14:paraId="6B0D804E" w14:textId="59CF5F0E" w:rsidR="00FC7B56" w:rsidRDefault="00FC7B56" w:rsidP="00E93C61">
      <w:pPr>
        <w:pStyle w:val="FootnoteText"/>
      </w:pPr>
      <w:r>
        <w:rPr>
          <w:rStyle w:val="FootnoteReference"/>
        </w:rPr>
        <w:footnoteRef/>
      </w:r>
      <w:r>
        <w:t xml:space="preserve"> Massachusetts RPS &amp; APS Annual Compliance Report for 2012 </w:t>
      </w:r>
      <w:r w:rsidRPr="00E93C61">
        <w:t>http://www.mass.gov/eea/docs/doer/rps-aps/rps-aps-2012-annual-compliance-report-042214.pdf</w:t>
      </w:r>
    </w:p>
  </w:footnote>
  <w:footnote w:id="24">
    <w:p w14:paraId="78BFEB60" w14:textId="77777777" w:rsidR="00FC7B56" w:rsidRDefault="00FC7B56" w:rsidP="003766DA">
      <w:pPr>
        <w:pStyle w:val="FootnoteText"/>
      </w:pPr>
      <w:r>
        <w:rPr>
          <w:rStyle w:val="FootnoteReference"/>
        </w:rPr>
        <w:footnoteRef/>
      </w:r>
      <w:r>
        <w:t xml:space="preserve"> </w:t>
      </w:r>
      <w:r w:rsidRPr="003A51F5">
        <w:rPr>
          <w:lang w:val="en-GB"/>
        </w:rPr>
        <w:t>Electricity and natural gas usage associated with the co-generation facilities is not included in this estimation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0" w:type="dxa"/>
        <w:right w:w="0" w:type="dxa"/>
      </w:tblCellMar>
      <w:tblLook w:val="0000" w:firstRow="0" w:lastRow="0" w:firstColumn="0" w:lastColumn="0" w:noHBand="0" w:noVBand="0"/>
    </w:tblPr>
    <w:tblGrid>
      <w:gridCol w:w="9360"/>
    </w:tblGrid>
    <w:tr w:rsidR="00FC7B56" w:rsidRPr="00F22465" w14:paraId="3C0B68E4" w14:textId="77777777" w:rsidTr="002D153B">
      <w:trPr>
        <w:trHeight w:hRule="exact" w:val="1021"/>
      </w:trPr>
      <w:tc>
        <w:tcPr>
          <w:tcW w:w="5000" w:type="pct"/>
          <w:noWrap/>
        </w:tcPr>
        <w:p w14:paraId="3C0B68E3" w14:textId="2C8BC6C5" w:rsidR="00FC7B56" w:rsidRPr="00F22465" w:rsidRDefault="00FC7B56" w:rsidP="002D153B">
          <w:pPr>
            <w:pStyle w:val="Header"/>
          </w:pPr>
          <w:bookmarkStart w:id="56" w:name="DnvGlSymbol500"/>
          <w:r>
            <w:rPr>
              <w:noProof/>
              <w:lang w:val="en-US" w:eastAsia="en-US"/>
            </w:rPr>
            <w:drawing>
              <wp:anchor distT="0" distB="0" distL="114300" distR="114300" simplePos="0" relativeHeight="251658242" behindDoc="0" locked="0" layoutInCell="0" allowOverlap="1" wp14:anchorId="3C0B68EC" wp14:editId="256284AB">
                <wp:simplePos x="0" y="0"/>
                <wp:positionH relativeFrom="margin">
                  <wp:posOffset>4743450</wp:posOffset>
                </wp:positionH>
                <wp:positionV relativeFrom="page">
                  <wp:posOffset>428625</wp:posOffset>
                </wp:positionV>
                <wp:extent cx="1195070" cy="16192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619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3C0B68E8" wp14:editId="1DBCFDEE">
                <wp:extent cx="14400000" cy="380988"/>
                <wp:effectExtent l="0" t="0" r="0" b="63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400000" cy="380988"/>
                        </a:xfrm>
                        <a:prstGeom prst="rect">
                          <a:avLst/>
                        </a:prstGeom>
                      </pic:spPr>
                    </pic:pic>
                  </a:graphicData>
                </a:graphic>
              </wp:inline>
            </w:drawing>
          </w:r>
          <w:bookmarkEnd w:id="56"/>
        </w:p>
      </w:tc>
    </w:tr>
  </w:tbl>
  <w:p w14:paraId="3C0B68E5" w14:textId="21186971" w:rsidR="00FC7B56" w:rsidRDefault="00FC7B56" w:rsidP="006D7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F65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3624D"/>
    <w:multiLevelType w:val="hybridMultilevel"/>
    <w:tmpl w:val="CB923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637A7"/>
    <w:multiLevelType w:val="hybridMultilevel"/>
    <w:tmpl w:val="7A7C7A0C"/>
    <w:name w:val="DNVGL Headings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A6F4A"/>
    <w:multiLevelType w:val="hybridMultilevel"/>
    <w:tmpl w:val="841CA98A"/>
    <w:name w:val="DNVGL Headings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98643B"/>
    <w:multiLevelType w:val="hybridMultilevel"/>
    <w:tmpl w:val="D95ADD5A"/>
    <w:name w:val="DNVGL Headings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338CE"/>
    <w:multiLevelType w:val="multilevel"/>
    <w:tmpl w:val="23560A62"/>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1490"/>
        </w:tabs>
        <w:ind w:left="149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1134"/>
        </w:tabs>
        <w:ind w:left="1134" w:hanging="1134"/>
      </w:pPr>
      <w:rPr>
        <w:rFonts w:hint="default"/>
        <w:b/>
        <w:bCs w:val="0"/>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31857CB9"/>
    <w:multiLevelType w:val="hybridMultilevel"/>
    <w:tmpl w:val="425AF162"/>
    <w:name w:val="DNVGL Headings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0D06AF"/>
    <w:multiLevelType w:val="multilevel"/>
    <w:tmpl w:val="165AD40C"/>
    <w:lvl w:ilvl="0">
      <w:start w:val="1"/>
      <w:numFmt w:val="decimal"/>
      <w:pStyle w:val="1"/>
      <w:lvlText w:val="%1)"/>
      <w:lvlJc w:val="left"/>
      <w:pPr>
        <w:tabs>
          <w:tab w:val="num" w:pos="1440"/>
        </w:tabs>
        <w:ind w:left="1440" w:hanging="360"/>
      </w:pPr>
      <w:rPr>
        <w:rFonts w:ascii="Times New Roman" w:hAnsi="Times New Roman"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B113593"/>
    <w:multiLevelType w:val="hybridMultilevel"/>
    <w:tmpl w:val="EB18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A7418"/>
    <w:multiLevelType w:val="hybridMultilevel"/>
    <w:tmpl w:val="D772B850"/>
    <w:lvl w:ilvl="0" w:tplc="FDBA74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D6807"/>
    <w:multiLevelType w:val="hybridMultilevel"/>
    <w:tmpl w:val="214CE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12DB1"/>
    <w:multiLevelType w:val="hybridMultilevel"/>
    <w:tmpl w:val="E45E90CA"/>
    <w:lvl w:ilvl="0" w:tplc="ED9E5CFC">
      <w:start w:val="1"/>
      <w:numFmt w:val="bullet"/>
      <w:pStyle w:val="BulletedLis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295475"/>
    <w:multiLevelType w:val="hybridMultilevel"/>
    <w:tmpl w:val="86980444"/>
    <w:name w:val="DNVGL Headings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D1415"/>
    <w:multiLevelType w:val="hybridMultilevel"/>
    <w:tmpl w:val="5FDAC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82F597E"/>
    <w:multiLevelType w:val="hybridMultilevel"/>
    <w:tmpl w:val="09EE2FEE"/>
    <w:name w:val="DNVGL Headings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2773E"/>
    <w:multiLevelType w:val="hybridMultilevel"/>
    <w:tmpl w:val="083434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6EC3BFC"/>
    <w:multiLevelType w:val="hybridMultilevel"/>
    <w:tmpl w:val="EF867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C473FDC"/>
    <w:multiLevelType w:val="hybridMultilevel"/>
    <w:tmpl w:val="142E6E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2709A9"/>
    <w:multiLevelType w:val="hybridMultilevel"/>
    <w:tmpl w:val="DC1806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1"/>
  </w:num>
  <w:num w:numId="5">
    <w:abstractNumId w:val="2"/>
  </w:num>
  <w:num w:numId="6">
    <w:abstractNumId w:val="4"/>
  </w:num>
  <w:num w:numId="7">
    <w:abstractNumId w:val="14"/>
  </w:num>
  <w:num w:numId="8">
    <w:abstractNumId w:val="6"/>
  </w:num>
  <w:num w:numId="9">
    <w:abstractNumId w:val="3"/>
  </w:num>
  <w:num w:numId="10">
    <w:abstractNumId w:val="16"/>
  </w:num>
  <w:num w:numId="11">
    <w:abstractNumId w:val="10"/>
  </w:num>
  <w:num w:numId="12">
    <w:abstractNumId w:val="9"/>
  </w:num>
  <w:num w:numId="13">
    <w:abstractNumId w:val="13"/>
  </w:num>
  <w:num w:numId="14">
    <w:abstractNumId w:val="12"/>
  </w:num>
  <w:num w:numId="15">
    <w:abstractNumId w:val="1"/>
  </w:num>
  <w:num w:numId="16">
    <w:abstractNumId w:val="17"/>
  </w:num>
  <w:num w:numId="17">
    <w:abstractNumId w:val="18"/>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063"/>
    <w:rsid w:val="000036CD"/>
    <w:rsid w:val="000045A9"/>
    <w:rsid w:val="00005326"/>
    <w:rsid w:val="00012766"/>
    <w:rsid w:val="000147D0"/>
    <w:rsid w:val="000158B4"/>
    <w:rsid w:val="00017091"/>
    <w:rsid w:val="00024923"/>
    <w:rsid w:val="00025BF2"/>
    <w:rsid w:val="00026860"/>
    <w:rsid w:val="000327A3"/>
    <w:rsid w:val="00033BCC"/>
    <w:rsid w:val="00036BC0"/>
    <w:rsid w:val="00046551"/>
    <w:rsid w:val="00050D52"/>
    <w:rsid w:val="00050D98"/>
    <w:rsid w:val="00053401"/>
    <w:rsid w:val="00053FE9"/>
    <w:rsid w:val="000547FD"/>
    <w:rsid w:val="00055B5C"/>
    <w:rsid w:val="00060C48"/>
    <w:rsid w:val="000618DC"/>
    <w:rsid w:val="0006344F"/>
    <w:rsid w:val="00063663"/>
    <w:rsid w:val="00065AC0"/>
    <w:rsid w:val="00070F02"/>
    <w:rsid w:val="00072EBC"/>
    <w:rsid w:val="0007343E"/>
    <w:rsid w:val="00073DE9"/>
    <w:rsid w:val="000769F3"/>
    <w:rsid w:val="0008111A"/>
    <w:rsid w:val="00081FDB"/>
    <w:rsid w:val="00085DA0"/>
    <w:rsid w:val="00091666"/>
    <w:rsid w:val="00092E74"/>
    <w:rsid w:val="0009686E"/>
    <w:rsid w:val="000A0C31"/>
    <w:rsid w:val="000A2AF5"/>
    <w:rsid w:val="000A3DB3"/>
    <w:rsid w:val="000A47ED"/>
    <w:rsid w:val="000A5152"/>
    <w:rsid w:val="000A7DD7"/>
    <w:rsid w:val="000B05E0"/>
    <w:rsid w:val="000C0978"/>
    <w:rsid w:val="000D0A0E"/>
    <w:rsid w:val="000D1008"/>
    <w:rsid w:val="000D16CE"/>
    <w:rsid w:val="000D2562"/>
    <w:rsid w:val="000D3012"/>
    <w:rsid w:val="000D3284"/>
    <w:rsid w:val="000D5237"/>
    <w:rsid w:val="000E7820"/>
    <w:rsid w:val="000F3410"/>
    <w:rsid w:val="0010270A"/>
    <w:rsid w:val="00103D3C"/>
    <w:rsid w:val="0010632A"/>
    <w:rsid w:val="00115AA4"/>
    <w:rsid w:val="00116630"/>
    <w:rsid w:val="001177C6"/>
    <w:rsid w:val="0012152C"/>
    <w:rsid w:val="0012256D"/>
    <w:rsid w:val="00136B62"/>
    <w:rsid w:val="001415EA"/>
    <w:rsid w:val="0014435D"/>
    <w:rsid w:val="0014526B"/>
    <w:rsid w:val="0014530C"/>
    <w:rsid w:val="00145CCC"/>
    <w:rsid w:val="00147CBA"/>
    <w:rsid w:val="001543E7"/>
    <w:rsid w:val="00155AA3"/>
    <w:rsid w:val="00160644"/>
    <w:rsid w:val="00160EB7"/>
    <w:rsid w:val="001635B0"/>
    <w:rsid w:val="00165A43"/>
    <w:rsid w:val="0016687D"/>
    <w:rsid w:val="0016698E"/>
    <w:rsid w:val="00167A78"/>
    <w:rsid w:val="0017086A"/>
    <w:rsid w:val="00180C0D"/>
    <w:rsid w:val="001837A9"/>
    <w:rsid w:val="00183E12"/>
    <w:rsid w:val="001850F9"/>
    <w:rsid w:val="001852A0"/>
    <w:rsid w:val="00185DA2"/>
    <w:rsid w:val="00192901"/>
    <w:rsid w:val="00194BE2"/>
    <w:rsid w:val="00197484"/>
    <w:rsid w:val="001B02EF"/>
    <w:rsid w:val="001B10A8"/>
    <w:rsid w:val="001B2307"/>
    <w:rsid w:val="001B68C7"/>
    <w:rsid w:val="001C2B93"/>
    <w:rsid w:val="001C2FBB"/>
    <w:rsid w:val="001C58D4"/>
    <w:rsid w:val="001C5AFA"/>
    <w:rsid w:val="001C70FC"/>
    <w:rsid w:val="001D0BA2"/>
    <w:rsid w:val="001D4A4F"/>
    <w:rsid w:val="001E1FF9"/>
    <w:rsid w:val="001E4346"/>
    <w:rsid w:val="001E6AD7"/>
    <w:rsid w:val="001F2AF2"/>
    <w:rsid w:val="001F3CA5"/>
    <w:rsid w:val="001F5582"/>
    <w:rsid w:val="00203844"/>
    <w:rsid w:val="00205795"/>
    <w:rsid w:val="0020714F"/>
    <w:rsid w:val="0021290B"/>
    <w:rsid w:val="00226E4C"/>
    <w:rsid w:val="002270AE"/>
    <w:rsid w:val="00231413"/>
    <w:rsid w:val="002332A0"/>
    <w:rsid w:val="00235A48"/>
    <w:rsid w:val="00235F11"/>
    <w:rsid w:val="00241AAC"/>
    <w:rsid w:val="00244473"/>
    <w:rsid w:val="00246DD1"/>
    <w:rsid w:val="00250B1C"/>
    <w:rsid w:val="00250C26"/>
    <w:rsid w:val="00253B17"/>
    <w:rsid w:val="00261798"/>
    <w:rsid w:val="00266A44"/>
    <w:rsid w:val="002716B8"/>
    <w:rsid w:val="00272431"/>
    <w:rsid w:val="0027354D"/>
    <w:rsid w:val="00280005"/>
    <w:rsid w:val="002802DF"/>
    <w:rsid w:val="002826CB"/>
    <w:rsid w:val="0028680B"/>
    <w:rsid w:val="00287787"/>
    <w:rsid w:val="0029085F"/>
    <w:rsid w:val="002A134C"/>
    <w:rsid w:val="002A3DEE"/>
    <w:rsid w:val="002B189C"/>
    <w:rsid w:val="002B1B64"/>
    <w:rsid w:val="002B1FDE"/>
    <w:rsid w:val="002B5C81"/>
    <w:rsid w:val="002B74B1"/>
    <w:rsid w:val="002C1A84"/>
    <w:rsid w:val="002C61D7"/>
    <w:rsid w:val="002D153B"/>
    <w:rsid w:val="002D4E80"/>
    <w:rsid w:val="002E101E"/>
    <w:rsid w:val="002E34F4"/>
    <w:rsid w:val="002E42B9"/>
    <w:rsid w:val="002E482F"/>
    <w:rsid w:val="002E6C39"/>
    <w:rsid w:val="002F0AF6"/>
    <w:rsid w:val="002F10AE"/>
    <w:rsid w:val="002F27EC"/>
    <w:rsid w:val="002F2E53"/>
    <w:rsid w:val="002F4679"/>
    <w:rsid w:val="002F685B"/>
    <w:rsid w:val="002F7408"/>
    <w:rsid w:val="002F7809"/>
    <w:rsid w:val="00302C55"/>
    <w:rsid w:val="00303C9F"/>
    <w:rsid w:val="003064F2"/>
    <w:rsid w:val="003147EA"/>
    <w:rsid w:val="00326B91"/>
    <w:rsid w:val="00327D1C"/>
    <w:rsid w:val="003359E0"/>
    <w:rsid w:val="0034228D"/>
    <w:rsid w:val="00350DD6"/>
    <w:rsid w:val="003528D2"/>
    <w:rsid w:val="003532DA"/>
    <w:rsid w:val="00354A8D"/>
    <w:rsid w:val="003618F6"/>
    <w:rsid w:val="0037251A"/>
    <w:rsid w:val="003766DA"/>
    <w:rsid w:val="003832DA"/>
    <w:rsid w:val="003864BE"/>
    <w:rsid w:val="00386D39"/>
    <w:rsid w:val="00387494"/>
    <w:rsid w:val="00387592"/>
    <w:rsid w:val="00390D23"/>
    <w:rsid w:val="00392285"/>
    <w:rsid w:val="00396684"/>
    <w:rsid w:val="003A330A"/>
    <w:rsid w:val="003A72E9"/>
    <w:rsid w:val="003A736A"/>
    <w:rsid w:val="003B587B"/>
    <w:rsid w:val="003D0E59"/>
    <w:rsid w:val="003D0E92"/>
    <w:rsid w:val="003D3486"/>
    <w:rsid w:val="003D374C"/>
    <w:rsid w:val="003D5338"/>
    <w:rsid w:val="003D54AB"/>
    <w:rsid w:val="003E1AFA"/>
    <w:rsid w:val="003F0F96"/>
    <w:rsid w:val="003F3701"/>
    <w:rsid w:val="00400152"/>
    <w:rsid w:val="00400A14"/>
    <w:rsid w:val="004015C7"/>
    <w:rsid w:val="00401C8F"/>
    <w:rsid w:val="0040599F"/>
    <w:rsid w:val="004132C5"/>
    <w:rsid w:val="0041703E"/>
    <w:rsid w:val="0042502E"/>
    <w:rsid w:val="004346DE"/>
    <w:rsid w:val="004369E6"/>
    <w:rsid w:val="00442D05"/>
    <w:rsid w:val="00443430"/>
    <w:rsid w:val="00443868"/>
    <w:rsid w:val="0045025A"/>
    <w:rsid w:val="00450BBC"/>
    <w:rsid w:val="004510C2"/>
    <w:rsid w:val="00452526"/>
    <w:rsid w:val="004537D3"/>
    <w:rsid w:val="00453EF4"/>
    <w:rsid w:val="004615AB"/>
    <w:rsid w:val="00463591"/>
    <w:rsid w:val="00464812"/>
    <w:rsid w:val="00466A63"/>
    <w:rsid w:val="0047172C"/>
    <w:rsid w:val="004718E3"/>
    <w:rsid w:val="00472650"/>
    <w:rsid w:val="00481A3F"/>
    <w:rsid w:val="004931DA"/>
    <w:rsid w:val="004A3076"/>
    <w:rsid w:val="004A6486"/>
    <w:rsid w:val="004B5DD3"/>
    <w:rsid w:val="004B6267"/>
    <w:rsid w:val="004B6C3C"/>
    <w:rsid w:val="004C447F"/>
    <w:rsid w:val="004C5AB5"/>
    <w:rsid w:val="004C603C"/>
    <w:rsid w:val="004C6A45"/>
    <w:rsid w:val="004D0EE7"/>
    <w:rsid w:val="004D3A92"/>
    <w:rsid w:val="004D7337"/>
    <w:rsid w:val="004F16C6"/>
    <w:rsid w:val="004F2015"/>
    <w:rsid w:val="004F6DB4"/>
    <w:rsid w:val="00504D7F"/>
    <w:rsid w:val="0050787D"/>
    <w:rsid w:val="005116A7"/>
    <w:rsid w:val="0051206E"/>
    <w:rsid w:val="00512396"/>
    <w:rsid w:val="00512FD3"/>
    <w:rsid w:val="0051307E"/>
    <w:rsid w:val="00515608"/>
    <w:rsid w:val="00517490"/>
    <w:rsid w:val="005232FA"/>
    <w:rsid w:val="005267A0"/>
    <w:rsid w:val="005267CC"/>
    <w:rsid w:val="00533598"/>
    <w:rsid w:val="00534C90"/>
    <w:rsid w:val="0053654F"/>
    <w:rsid w:val="005368B1"/>
    <w:rsid w:val="00546373"/>
    <w:rsid w:val="00555B2E"/>
    <w:rsid w:val="00556723"/>
    <w:rsid w:val="00562420"/>
    <w:rsid w:val="005627BC"/>
    <w:rsid w:val="005646CD"/>
    <w:rsid w:val="00565FAD"/>
    <w:rsid w:val="00571AE6"/>
    <w:rsid w:val="00571D6B"/>
    <w:rsid w:val="00571F90"/>
    <w:rsid w:val="00572853"/>
    <w:rsid w:val="00575F06"/>
    <w:rsid w:val="005805B7"/>
    <w:rsid w:val="0058672A"/>
    <w:rsid w:val="0059261E"/>
    <w:rsid w:val="00596094"/>
    <w:rsid w:val="005A0AB1"/>
    <w:rsid w:val="005A112A"/>
    <w:rsid w:val="005A358F"/>
    <w:rsid w:val="005B0121"/>
    <w:rsid w:val="005C0BF1"/>
    <w:rsid w:val="005C1EA4"/>
    <w:rsid w:val="005C27D8"/>
    <w:rsid w:val="005C6728"/>
    <w:rsid w:val="005D1313"/>
    <w:rsid w:val="005D2C39"/>
    <w:rsid w:val="005D501F"/>
    <w:rsid w:val="005E14DF"/>
    <w:rsid w:val="005E2215"/>
    <w:rsid w:val="005E438F"/>
    <w:rsid w:val="005E7C47"/>
    <w:rsid w:val="005F76C3"/>
    <w:rsid w:val="005F7EBE"/>
    <w:rsid w:val="00603666"/>
    <w:rsid w:val="00604B6C"/>
    <w:rsid w:val="00605787"/>
    <w:rsid w:val="00607AEB"/>
    <w:rsid w:val="00610236"/>
    <w:rsid w:val="0061182F"/>
    <w:rsid w:val="00620427"/>
    <w:rsid w:val="00622DE0"/>
    <w:rsid w:val="00631613"/>
    <w:rsid w:val="006400F5"/>
    <w:rsid w:val="00641DE3"/>
    <w:rsid w:val="00642CC3"/>
    <w:rsid w:val="0064341D"/>
    <w:rsid w:val="00643706"/>
    <w:rsid w:val="006451A0"/>
    <w:rsid w:val="00645BED"/>
    <w:rsid w:val="0064636F"/>
    <w:rsid w:val="006544FB"/>
    <w:rsid w:val="00661152"/>
    <w:rsid w:val="00661541"/>
    <w:rsid w:val="006674FC"/>
    <w:rsid w:val="00667DFB"/>
    <w:rsid w:val="00671B46"/>
    <w:rsid w:val="00672D69"/>
    <w:rsid w:val="00673743"/>
    <w:rsid w:val="00675EEE"/>
    <w:rsid w:val="00681890"/>
    <w:rsid w:val="00682F6F"/>
    <w:rsid w:val="00691AED"/>
    <w:rsid w:val="006A03C3"/>
    <w:rsid w:val="006A1766"/>
    <w:rsid w:val="006A38D3"/>
    <w:rsid w:val="006A3D6E"/>
    <w:rsid w:val="006A4324"/>
    <w:rsid w:val="006A69A9"/>
    <w:rsid w:val="006B17A1"/>
    <w:rsid w:val="006B2053"/>
    <w:rsid w:val="006C2B2B"/>
    <w:rsid w:val="006C40ED"/>
    <w:rsid w:val="006C44D3"/>
    <w:rsid w:val="006C4520"/>
    <w:rsid w:val="006C71A8"/>
    <w:rsid w:val="006D12C9"/>
    <w:rsid w:val="006D34D9"/>
    <w:rsid w:val="006D3B45"/>
    <w:rsid w:val="006D6C2F"/>
    <w:rsid w:val="006D716A"/>
    <w:rsid w:val="006D75B3"/>
    <w:rsid w:val="006E383E"/>
    <w:rsid w:val="006E79A7"/>
    <w:rsid w:val="006F036B"/>
    <w:rsid w:val="006F4F29"/>
    <w:rsid w:val="006F6C45"/>
    <w:rsid w:val="006F7A61"/>
    <w:rsid w:val="007008B6"/>
    <w:rsid w:val="00710E5B"/>
    <w:rsid w:val="007145B5"/>
    <w:rsid w:val="00716232"/>
    <w:rsid w:val="00720293"/>
    <w:rsid w:val="00722F61"/>
    <w:rsid w:val="007247C5"/>
    <w:rsid w:val="007250BA"/>
    <w:rsid w:val="007476B5"/>
    <w:rsid w:val="00751E69"/>
    <w:rsid w:val="00761739"/>
    <w:rsid w:val="0076464A"/>
    <w:rsid w:val="00764658"/>
    <w:rsid w:val="00765B56"/>
    <w:rsid w:val="00771B6C"/>
    <w:rsid w:val="00776934"/>
    <w:rsid w:val="00776C4C"/>
    <w:rsid w:val="00783B07"/>
    <w:rsid w:val="00785DCD"/>
    <w:rsid w:val="007908DB"/>
    <w:rsid w:val="00793083"/>
    <w:rsid w:val="007950B0"/>
    <w:rsid w:val="007952D8"/>
    <w:rsid w:val="007A4784"/>
    <w:rsid w:val="007B05C2"/>
    <w:rsid w:val="007F0A16"/>
    <w:rsid w:val="007F203F"/>
    <w:rsid w:val="007F57B9"/>
    <w:rsid w:val="007F6095"/>
    <w:rsid w:val="00800F02"/>
    <w:rsid w:val="0080211E"/>
    <w:rsid w:val="00804D73"/>
    <w:rsid w:val="0080530E"/>
    <w:rsid w:val="00806F82"/>
    <w:rsid w:val="008143AA"/>
    <w:rsid w:val="00814505"/>
    <w:rsid w:val="00814FEB"/>
    <w:rsid w:val="00825516"/>
    <w:rsid w:val="00833483"/>
    <w:rsid w:val="008336F3"/>
    <w:rsid w:val="008340C3"/>
    <w:rsid w:val="00842BF9"/>
    <w:rsid w:val="00843596"/>
    <w:rsid w:val="008453F2"/>
    <w:rsid w:val="008508F1"/>
    <w:rsid w:val="00852655"/>
    <w:rsid w:val="00853A64"/>
    <w:rsid w:val="008623A5"/>
    <w:rsid w:val="00862A6B"/>
    <w:rsid w:val="008660A0"/>
    <w:rsid w:val="00866283"/>
    <w:rsid w:val="00867E62"/>
    <w:rsid w:val="00870F04"/>
    <w:rsid w:val="0087213F"/>
    <w:rsid w:val="008722A8"/>
    <w:rsid w:val="008724F4"/>
    <w:rsid w:val="00872917"/>
    <w:rsid w:val="00874142"/>
    <w:rsid w:val="00876F15"/>
    <w:rsid w:val="00880046"/>
    <w:rsid w:val="00885D3A"/>
    <w:rsid w:val="0089326B"/>
    <w:rsid w:val="0089556C"/>
    <w:rsid w:val="008A01B7"/>
    <w:rsid w:val="008A7C0D"/>
    <w:rsid w:val="008B75A2"/>
    <w:rsid w:val="008B79F6"/>
    <w:rsid w:val="008C4C97"/>
    <w:rsid w:val="008C6511"/>
    <w:rsid w:val="008C7147"/>
    <w:rsid w:val="008C7693"/>
    <w:rsid w:val="008D0622"/>
    <w:rsid w:val="008D07FE"/>
    <w:rsid w:val="008D1C20"/>
    <w:rsid w:val="008D2702"/>
    <w:rsid w:val="008D5F19"/>
    <w:rsid w:val="008E02E1"/>
    <w:rsid w:val="008E32A7"/>
    <w:rsid w:val="008E3B04"/>
    <w:rsid w:val="008F392A"/>
    <w:rsid w:val="008F56A3"/>
    <w:rsid w:val="008F66C3"/>
    <w:rsid w:val="009014A6"/>
    <w:rsid w:val="009047B2"/>
    <w:rsid w:val="0090592A"/>
    <w:rsid w:val="00907C9C"/>
    <w:rsid w:val="009104CE"/>
    <w:rsid w:val="00911A0B"/>
    <w:rsid w:val="009125F4"/>
    <w:rsid w:val="0091303C"/>
    <w:rsid w:val="00915A33"/>
    <w:rsid w:val="00916B35"/>
    <w:rsid w:val="009231CB"/>
    <w:rsid w:val="0092337F"/>
    <w:rsid w:val="00927F66"/>
    <w:rsid w:val="009304CE"/>
    <w:rsid w:val="009320F9"/>
    <w:rsid w:val="00934C2E"/>
    <w:rsid w:val="00936374"/>
    <w:rsid w:val="009407FF"/>
    <w:rsid w:val="009451BA"/>
    <w:rsid w:val="00945641"/>
    <w:rsid w:val="00945EAB"/>
    <w:rsid w:val="00951968"/>
    <w:rsid w:val="00952CC8"/>
    <w:rsid w:val="0095420D"/>
    <w:rsid w:val="0095484C"/>
    <w:rsid w:val="00955E76"/>
    <w:rsid w:val="009638BE"/>
    <w:rsid w:val="009774FB"/>
    <w:rsid w:val="00981776"/>
    <w:rsid w:val="00993543"/>
    <w:rsid w:val="009942B0"/>
    <w:rsid w:val="009966D4"/>
    <w:rsid w:val="00997F48"/>
    <w:rsid w:val="009C104D"/>
    <w:rsid w:val="009C4538"/>
    <w:rsid w:val="009C4661"/>
    <w:rsid w:val="009E34E4"/>
    <w:rsid w:val="009E3E19"/>
    <w:rsid w:val="009F1CFE"/>
    <w:rsid w:val="009F4486"/>
    <w:rsid w:val="00A01F37"/>
    <w:rsid w:val="00A02002"/>
    <w:rsid w:val="00A024FD"/>
    <w:rsid w:val="00A03038"/>
    <w:rsid w:val="00A10576"/>
    <w:rsid w:val="00A10EFE"/>
    <w:rsid w:val="00A135D1"/>
    <w:rsid w:val="00A15B3E"/>
    <w:rsid w:val="00A170A0"/>
    <w:rsid w:val="00A176D2"/>
    <w:rsid w:val="00A20F6F"/>
    <w:rsid w:val="00A22678"/>
    <w:rsid w:val="00A22DCE"/>
    <w:rsid w:val="00A24D7C"/>
    <w:rsid w:val="00A25879"/>
    <w:rsid w:val="00A26DA8"/>
    <w:rsid w:val="00A3185A"/>
    <w:rsid w:val="00A34F9D"/>
    <w:rsid w:val="00A36748"/>
    <w:rsid w:val="00A4200D"/>
    <w:rsid w:val="00A47EA0"/>
    <w:rsid w:val="00A47ECA"/>
    <w:rsid w:val="00A51BCA"/>
    <w:rsid w:val="00A52EBD"/>
    <w:rsid w:val="00A63510"/>
    <w:rsid w:val="00A66AF9"/>
    <w:rsid w:val="00A73F40"/>
    <w:rsid w:val="00A7588D"/>
    <w:rsid w:val="00A8011C"/>
    <w:rsid w:val="00A811F0"/>
    <w:rsid w:val="00A81A24"/>
    <w:rsid w:val="00A83C88"/>
    <w:rsid w:val="00A83EF8"/>
    <w:rsid w:val="00A912A6"/>
    <w:rsid w:val="00A94DDE"/>
    <w:rsid w:val="00AA1550"/>
    <w:rsid w:val="00AA1D2A"/>
    <w:rsid w:val="00AA41F8"/>
    <w:rsid w:val="00AA497A"/>
    <w:rsid w:val="00AA7565"/>
    <w:rsid w:val="00AB0619"/>
    <w:rsid w:val="00AB1625"/>
    <w:rsid w:val="00AB283A"/>
    <w:rsid w:val="00AB427F"/>
    <w:rsid w:val="00AB5048"/>
    <w:rsid w:val="00AC268B"/>
    <w:rsid w:val="00AC3454"/>
    <w:rsid w:val="00AC7D2E"/>
    <w:rsid w:val="00AD2E9B"/>
    <w:rsid w:val="00AD4785"/>
    <w:rsid w:val="00AE18C0"/>
    <w:rsid w:val="00AE1931"/>
    <w:rsid w:val="00AE1983"/>
    <w:rsid w:val="00AE23C4"/>
    <w:rsid w:val="00AE2C1A"/>
    <w:rsid w:val="00AE37C2"/>
    <w:rsid w:val="00AE5738"/>
    <w:rsid w:val="00AE5779"/>
    <w:rsid w:val="00AF0D09"/>
    <w:rsid w:val="00AF0F2E"/>
    <w:rsid w:val="00AF14EF"/>
    <w:rsid w:val="00AF1ECD"/>
    <w:rsid w:val="00AF1FD4"/>
    <w:rsid w:val="00B0065C"/>
    <w:rsid w:val="00B0190E"/>
    <w:rsid w:val="00B039DE"/>
    <w:rsid w:val="00B043C3"/>
    <w:rsid w:val="00B17BB2"/>
    <w:rsid w:val="00B17F4D"/>
    <w:rsid w:val="00B2549B"/>
    <w:rsid w:val="00B2600D"/>
    <w:rsid w:val="00B30864"/>
    <w:rsid w:val="00B309C5"/>
    <w:rsid w:val="00B32F66"/>
    <w:rsid w:val="00B3746E"/>
    <w:rsid w:val="00B471CF"/>
    <w:rsid w:val="00B47C60"/>
    <w:rsid w:val="00B51063"/>
    <w:rsid w:val="00B54E97"/>
    <w:rsid w:val="00B557E4"/>
    <w:rsid w:val="00B562FC"/>
    <w:rsid w:val="00B6253C"/>
    <w:rsid w:val="00B70B80"/>
    <w:rsid w:val="00B76ACC"/>
    <w:rsid w:val="00B777AC"/>
    <w:rsid w:val="00B77FC9"/>
    <w:rsid w:val="00B90E45"/>
    <w:rsid w:val="00B90ECA"/>
    <w:rsid w:val="00B93E86"/>
    <w:rsid w:val="00B97AB2"/>
    <w:rsid w:val="00BA0967"/>
    <w:rsid w:val="00BA40B2"/>
    <w:rsid w:val="00BA6A7C"/>
    <w:rsid w:val="00BA7604"/>
    <w:rsid w:val="00BB0297"/>
    <w:rsid w:val="00BB15CD"/>
    <w:rsid w:val="00BB32BC"/>
    <w:rsid w:val="00BB3B4B"/>
    <w:rsid w:val="00BB4EEE"/>
    <w:rsid w:val="00BC209D"/>
    <w:rsid w:val="00BC398D"/>
    <w:rsid w:val="00BC7AEA"/>
    <w:rsid w:val="00BD16E4"/>
    <w:rsid w:val="00BD1E96"/>
    <w:rsid w:val="00BE013F"/>
    <w:rsid w:val="00BE4999"/>
    <w:rsid w:val="00BF009D"/>
    <w:rsid w:val="00BF5562"/>
    <w:rsid w:val="00C03443"/>
    <w:rsid w:val="00C03DCB"/>
    <w:rsid w:val="00C04711"/>
    <w:rsid w:val="00C052CB"/>
    <w:rsid w:val="00C11CDE"/>
    <w:rsid w:val="00C127C3"/>
    <w:rsid w:val="00C12F15"/>
    <w:rsid w:val="00C1381E"/>
    <w:rsid w:val="00C16EA3"/>
    <w:rsid w:val="00C26E42"/>
    <w:rsid w:val="00C30DC0"/>
    <w:rsid w:val="00C322C6"/>
    <w:rsid w:val="00C32818"/>
    <w:rsid w:val="00C32B16"/>
    <w:rsid w:val="00C3681D"/>
    <w:rsid w:val="00C44213"/>
    <w:rsid w:val="00C45C1C"/>
    <w:rsid w:val="00C463BD"/>
    <w:rsid w:val="00C5272F"/>
    <w:rsid w:val="00C528A9"/>
    <w:rsid w:val="00C56AD4"/>
    <w:rsid w:val="00C63D75"/>
    <w:rsid w:val="00C65182"/>
    <w:rsid w:val="00C72363"/>
    <w:rsid w:val="00C75AC9"/>
    <w:rsid w:val="00C80142"/>
    <w:rsid w:val="00C803F8"/>
    <w:rsid w:val="00C80E83"/>
    <w:rsid w:val="00C8101E"/>
    <w:rsid w:val="00C8528C"/>
    <w:rsid w:val="00CA27B9"/>
    <w:rsid w:val="00CA6B6B"/>
    <w:rsid w:val="00CA7D62"/>
    <w:rsid w:val="00CB3721"/>
    <w:rsid w:val="00CB387C"/>
    <w:rsid w:val="00CB3A52"/>
    <w:rsid w:val="00CB73DE"/>
    <w:rsid w:val="00CC1768"/>
    <w:rsid w:val="00CC5164"/>
    <w:rsid w:val="00CC5958"/>
    <w:rsid w:val="00CD1D99"/>
    <w:rsid w:val="00CD3629"/>
    <w:rsid w:val="00CD380D"/>
    <w:rsid w:val="00CD5E87"/>
    <w:rsid w:val="00CE7032"/>
    <w:rsid w:val="00CE7A8C"/>
    <w:rsid w:val="00CE7DAE"/>
    <w:rsid w:val="00CF0665"/>
    <w:rsid w:val="00CF2F70"/>
    <w:rsid w:val="00CF52BB"/>
    <w:rsid w:val="00CF5EF9"/>
    <w:rsid w:val="00CF6FE3"/>
    <w:rsid w:val="00D020A8"/>
    <w:rsid w:val="00D0571D"/>
    <w:rsid w:val="00D13A86"/>
    <w:rsid w:val="00D1630F"/>
    <w:rsid w:val="00D20285"/>
    <w:rsid w:val="00D209D9"/>
    <w:rsid w:val="00D2280A"/>
    <w:rsid w:val="00D26C32"/>
    <w:rsid w:val="00D274CF"/>
    <w:rsid w:val="00D31271"/>
    <w:rsid w:val="00D31B0C"/>
    <w:rsid w:val="00D42A1E"/>
    <w:rsid w:val="00D50825"/>
    <w:rsid w:val="00D5283A"/>
    <w:rsid w:val="00D52E33"/>
    <w:rsid w:val="00D559BB"/>
    <w:rsid w:val="00D662C5"/>
    <w:rsid w:val="00D669A0"/>
    <w:rsid w:val="00D67840"/>
    <w:rsid w:val="00D709B7"/>
    <w:rsid w:val="00D75DE8"/>
    <w:rsid w:val="00D76019"/>
    <w:rsid w:val="00D81804"/>
    <w:rsid w:val="00D81EB1"/>
    <w:rsid w:val="00D83B4F"/>
    <w:rsid w:val="00D94E06"/>
    <w:rsid w:val="00D959AD"/>
    <w:rsid w:val="00DB1704"/>
    <w:rsid w:val="00DB2DE6"/>
    <w:rsid w:val="00DB377B"/>
    <w:rsid w:val="00DB3FBD"/>
    <w:rsid w:val="00DB55D6"/>
    <w:rsid w:val="00DB6F80"/>
    <w:rsid w:val="00DC1D22"/>
    <w:rsid w:val="00DC1D3B"/>
    <w:rsid w:val="00DC2318"/>
    <w:rsid w:val="00DC7227"/>
    <w:rsid w:val="00DC7482"/>
    <w:rsid w:val="00DD1F9D"/>
    <w:rsid w:val="00DD27AA"/>
    <w:rsid w:val="00DD282A"/>
    <w:rsid w:val="00DD7256"/>
    <w:rsid w:val="00DD7ACA"/>
    <w:rsid w:val="00DE00AF"/>
    <w:rsid w:val="00DE1250"/>
    <w:rsid w:val="00DE5746"/>
    <w:rsid w:val="00E01F57"/>
    <w:rsid w:val="00E0267A"/>
    <w:rsid w:val="00E0356C"/>
    <w:rsid w:val="00E04252"/>
    <w:rsid w:val="00E04D31"/>
    <w:rsid w:val="00E05610"/>
    <w:rsid w:val="00E120F3"/>
    <w:rsid w:val="00E141AB"/>
    <w:rsid w:val="00E175D9"/>
    <w:rsid w:val="00E2031C"/>
    <w:rsid w:val="00E22795"/>
    <w:rsid w:val="00E24676"/>
    <w:rsid w:val="00E33A21"/>
    <w:rsid w:val="00E34BC8"/>
    <w:rsid w:val="00E3628B"/>
    <w:rsid w:val="00E4251F"/>
    <w:rsid w:val="00E431C0"/>
    <w:rsid w:val="00E62847"/>
    <w:rsid w:val="00E63A6B"/>
    <w:rsid w:val="00E63E98"/>
    <w:rsid w:val="00E71283"/>
    <w:rsid w:val="00E738F8"/>
    <w:rsid w:val="00E83750"/>
    <w:rsid w:val="00E837C5"/>
    <w:rsid w:val="00E86181"/>
    <w:rsid w:val="00E90DA4"/>
    <w:rsid w:val="00E93C61"/>
    <w:rsid w:val="00E940C2"/>
    <w:rsid w:val="00E9483E"/>
    <w:rsid w:val="00E95901"/>
    <w:rsid w:val="00EA5B42"/>
    <w:rsid w:val="00ED626E"/>
    <w:rsid w:val="00EE2AC5"/>
    <w:rsid w:val="00EE7A2C"/>
    <w:rsid w:val="00EF031F"/>
    <w:rsid w:val="00EF11A7"/>
    <w:rsid w:val="00EF1E60"/>
    <w:rsid w:val="00EF505A"/>
    <w:rsid w:val="00EF5F99"/>
    <w:rsid w:val="00F00925"/>
    <w:rsid w:val="00F03DBE"/>
    <w:rsid w:val="00F2255E"/>
    <w:rsid w:val="00F227D1"/>
    <w:rsid w:val="00F237D8"/>
    <w:rsid w:val="00F26B8E"/>
    <w:rsid w:val="00F30A9E"/>
    <w:rsid w:val="00F34399"/>
    <w:rsid w:val="00F346B9"/>
    <w:rsid w:val="00F42F42"/>
    <w:rsid w:val="00F4406D"/>
    <w:rsid w:val="00F45894"/>
    <w:rsid w:val="00F5030C"/>
    <w:rsid w:val="00F609AB"/>
    <w:rsid w:val="00F6176F"/>
    <w:rsid w:val="00F61C5C"/>
    <w:rsid w:val="00F63862"/>
    <w:rsid w:val="00F65682"/>
    <w:rsid w:val="00F70524"/>
    <w:rsid w:val="00F72E5C"/>
    <w:rsid w:val="00F76913"/>
    <w:rsid w:val="00F83697"/>
    <w:rsid w:val="00F87232"/>
    <w:rsid w:val="00F90265"/>
    <w:rsid w:val="00F91ACB"/>
    <w:rsid w:val="00F94854"/>
    <w:rsid w:val="00F9506A"/>
    <w:rsid w:val="00F96997"/>
    <w:rsid w:val="00F97D4A"/>
    <w:rsid w:val="00FA04F4"/>
    <w:rsid w:val="00FA2162"/>
    <w:rsid w:val="00FA226E"/>
    <w:rsid w:val="00FA7829"/>
    <w:rsid w:val="00FB0289"/>
    <w:rsid w:val="00FB05C1"/>
    <w:rsid w:val="00FB12DF"/>
    <w:rsid w:val="00FB2EEC"/>
    <w:rsid w:val="00FB4BC3"/>
    <w:rsid w:val="00FB7F42"/>
    <w:rsid w:val="00FC06B1"/>
    <w:rsid w:val="00FC2016"/>
    <w:rsid w:val="00FC54B2"/>
    <w:rsid w:val="00FC6C9E"/>
    <w:rsid w:val="00FC7B56"/>
    <w:rsid w:val="00FF0C7E"/>
    <w:rsid w:val="00FF15BF"/>
    <w:rsid w:val="00FF26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B67D1"/>
  <w15:docId w15:val="{E307F0ED-07E6-47DE-95AE-DF32C295F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4">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8F66C3"/>
    <w:pPr>
      <w:spacing w:after="0" w:line="240" w:lineRule="auto"/>
    </w:pPr>
    <w:rPr>
      <w:rFonts w:ascii="Verdana" w:hAnsi="Verdana" w:cs="Verdana"/>
      <w:sz w:val="18"/>
      <w:szCs w:val="18"/>
      <w:lang w:val="en-GB"/>
    </w:rPr>
  </w:style>
  <w:style w:type="paragraph" w:styleId="Heading1">
    <w:name w:val="heading 1"/>
    <w:basedOn w:val="Normal"/>
    <w:next w:val="BodyText"/>
    <w:link w:val="Heading1Char"/>
    <w:uiPriority w:val="9"/>
    <w:qFormat/>
    <w:rsid w:val="008F66C3"/>
    <w:pPr>
      <w:keepNext/>
      <w:numPr>
        <w:numId w:val="1"/>
      </w:numPr>
      <w:spacing w:before="480"/>
      <w:outlineLvl w:val="0"/>
    </w:pPr>
    <w:rPr>
      <w:b/>
      <w:caps/>
      <w:color w:val="009FDA"/>
      <w:sz w:val="26"/>
    </w:rPr>
  </w:style>
  <w:style w:type="paragraph" w:styleId="Heading2">
    <w:name w:val="heading 2"/>
    <w:basedOn w:val="Normal"/>
    <w:next w:val="BodyText"/>
    <w:link w:val="Heading2Char"/>
    <w:uiPriority w:val="9"/>
    <w:qFormat/>
    <w:rsid w:val="00B51063"/>
    <w:pPr>
      <w:keepNext/>
      <w:numPr>
        <w:ilvl w:val="1"/>
        <w:numId w:val="1"/>
      </w:numPr>
      <w:spacing w:before="280"/>
      <w:outlineLvl w:val="1"/>
    </w:pPr>
    <w:rPr>
      <w:b/>
      <w:color w:val="009FDA"/>
      <w:sz w:val="26"/>
    </w:rPr>
  </w:style>
  <w:style w:type="paragraph" w:styleId="Heading3">
    <w:name w:val="heading 3"/>
    <w:basedOn w:val="Normal"/>
    <w:next w:val="BodyText"/>
    <w:link w:val="Heading3Char"/>
    <w:uiPriority w:val="9"/>
    <w:qFormat/>
    <w:rsid w:val="00B51063"/>
    <w:pPr>
      <w:keepNext/>
      <w:numPr>
        <w:ilvl w:val="2"/>
        <w:numId w:val="1"/>
      </w:numPr>
      <w:spacing w:before="120"/>
      <w:outlineLvl w:val="2"/>
    </w:pPr>
    <w:rPr>
      <w:color w:val="009FDA"/>
      <w:sz w:val="26"/>
    </w:rPr>
  </w:style>
  <w:style w:type="paragraph" w:styleId="Heading4">
    <w:name w:val="heading 4"/>
    <w:basedOn w:val="Normal"/>
    <w:next w:val="BodyText"/>
    <w:link w:val="Heading4Char"/>
    <w:uiPriority w:val="9"/>
    <w:qFormat/>
    <w:rsid w:val="00B51063"/>
    <w:pPr>
      <w:keepNext/>
      <w:numPr>
        <w:ilvl w:val="3"/>
        <w:numId w:val="1"/>
      </w:numPr>
      <w:spacing w:before="120"/>
      <w:outlineLvl w:val="3"/>
    </w:pPr>
    <w:rPr>
      <w:b/>
      <w:color w:val="333333"/>
      <w:sz w:val="24"/>
    </w:rPr>
  </w:style>
  <w:style w:type="paragraph" w:styleId="Heading5">
    <w:name w:val="heading 5"/>
    <w:basedOn w:val="Normal"/>
    <w:next w:val="BodyText"/>
    <w:link w:val="Heading5Char"/>
    <w:uiPriority w:val="99"/>
    <w:rsid w:val="00B51063"/>
    <w:pPr>
      <w:numPr>
        <w:ilvl w:val="4"/>
        <w:numId w:val="1"/>
      </w:numPr>
      <w:spacing w:before="60" w:after="60"/>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063"/>
    <w:rPr>
      <w:rFonts w:ascii="Verdana" w:hAnsi="Verdana" w:cs="Verdana"/>
      <w:b/>
      <w:caps/>
      <w:color w:val="009FDA"/>
      <w:sz w:val="26"/>
      <w:szCs w:val="18"/>
      <w:lang w:val="en-GB"/>
    </w:rPr>
  </w:style>
  <w:style w:type="character" w:customStyle="1" w:styleId="Heading2Char">
    <w:name w:val="Heading 2 Char"/>
    <w:basedOn w:val="DefaultParagraphFont"/>
    <w:link w:val="Heading2"/>
    <w:uiPriority w:val="9"/>
    <w:rsid w:val="00B51063"/>
    <w:rPr>
      <w:rFonts w:ascii="Verdana" w:hAnsi="Verdana" w:cs="Verdana"/>
      <w:b/>
      <w:color w:val="009FDA"/>
      <w:sz w:val="26"/>
      <w:szCs w:val="18"/>
      <w:lang w:val="en-GB"/>
    </w:rPr>
  </w:style>
  <w:style w:type="character" w:customStyle="1" w:styleId="Heading3Char">
    <w:name w:val="Heading 3 Char"/>
    <w:basedOn w:val="DefaultParagraphFont"/>
    <w:link w:val="Heading3"/>
    <w:uiPriority w:val="9"/>
    <w:rsid w:val="00B51063"/>
    <w:rPr>
      <w:rFonts w:ascii="Verdana" w:hAnsi="Verdana" w:cs="Verdana"/>
      <w:color w:val="009FDA"/>
      <w:sz w:val="26"/>
      <w:szCs w:val="18"/>
      <w:lang w:val="en-GB"/>
    </w:rPr>
  </w:style>
  <w:style w:type="character" w:customStyle="1" w:styleId="Heading4Char">
    <w:name w:val="Heading 4 Char"/>
    <w:basedOn w:val="DefaultParagraphFont"/>
    <w:link w:val="Heading4"/>
    <w:uiPriority w:val="9"/>
    <w:rsid w:val="00B51063"/>
    <w:rPr>
      <w:rFonts w:ascii="Verdana" w:hAnsi="Verdana" w:cs="Verdana"/>
      <w:b/>
      <w:color w:val="333333"/>
      <w:sz w:val="24"/>
      <w:szCs w:val="18"/>
      <w:lang w:val="en-GB"/>
    </w:rPr>
  </w:style>
  <w:style w:type="character" w:customStyle="1" w:styleId="Heading5Char">
    <w:name w:val="Heading 5 Char"/>
    <w:basedOn w:val="DefaultParagraphFont"/>
    <w:link w:val="Heading5"/>
    <w:uiPriority w:val="99"/>
    <w:rsid w:val="00B51063"/>
    <w:rPr>
      <w:rFonts w:ascii="Verdana" w:hAnsi="Verdana" w:cs="Verdana"/>
      <w:sz w:val="24"/>
      <w:szCs w:val="18"/>
      <w:lang w:val="en-GB"/>
    </w:rPr>
  </w:style>
  <w:style w:type="paragraph" w:styleId="ListParagraph">
    <w:name w:val="List Paragraph"/>
    <w:basedOn w:val="Normal"/>
    <w:autoRedefine/>
    <w:uiPriority w:val="34"/>
    <w:unhideWhenUsed/>
    <w:qFormat/>
    <w:rsid w:val="00B76ACC"/>
    <w:pPr>
      <w:ind w:left="720"/>
      <w:contextualSpacing/>
    </w:pPr>
    <w:rPr>
      <w:rFonts w:asciiTheme="majorBidi" w:hAnsiTheme="majorBidi"/>
      <w:sz w:val="22"/>
    </w:rPr>
  </w:style>
  <w:style w:type="paragraph" w:styleId="BodyText">
    <w:name w:val="Body Text"/>
    <w:basedOn w:val="Normal"/>
    <w:link w:val="BodyTextChar"/>
    <w:uiPriority w:val="99"/>
    <w:unhideWhenUsed/>
    <w:rsid w:val="00B51063"/>
    <w:pPr>
      <w:spacing w:after="120"/>
    </w:pPr>
  </w:style>
  <w:style w:type="character" w:customStyle="1" w:styleId="BodyTextChar">
    <w:name w:val="Body Text Char"/>
    <w:basedOn w:val="DefaultParagraphFont"/>
    <w:link w:val="BodyText"/>
    <w:uiPriority w:val="99"/>
    <w:rsid w:val="00B51063"/>
    <w:rPr>
      <w:rFonts w:ascii="Verdana" w:hAnsi="Verdana" w:cs="Verdana"/>
      <w:sz w:val="18"/>
      <w:szCs w:val="18"/>
      <w:lang w:val="en-GB"/>
    </w:rPr>
  </w:style>
  <w:style w:type="table" w:styleId="TableGrid">
    <w:name w:val="Table Grid"/>
    <w:basedOn w:val="TableNormal"/>
    <w:uiPriority w:val="59"/>
    <w:rsid w:val="00FC5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28B"/>
    <w:rPr>
      <w:rFonts w:ascii="Tahoma" w:hAnsi="Tahoma" w:cs="Tahoma"/>
      <w:sz w:val="16"/>
      <w:szCs w:val="16"/>
    </w:rPr>
  </w:style>
  <w:style w:type="character" w:customStyle="1" w:styleId="BalloonTextChar">
    <w:name w:val="Balloon Text Char"/>
    <w:basedOn w:val="DefaultParagraphFont"/>
    <w:link w:val="BalloonText"/>
    <w:uiPriority w:val="99"/>
    <w:semiHidden/>
    <w:rsid w:val="00E3628B"/>
    <w:rPr>
      <w:rFonts w:ascii="Tahoma" w:hAnsi="Tahoma" w:cs="Tahoma"/>
      <w:sz w:val="16"/>
      <w:szCs w:val="16"/>
      <w:lang w:val="en-GB"/>
    </w:rPr>
  </w:style>
  <w:style w:type="character" w:styleId="CommentReference">
    <w:name w:val="annotation reference"/>
    <w:basedOn w:val="DefaultParagraphFont"/>
    <w:uiPriority w:val="99"/>
    <w:semiHidden/>
    <w:unhideWhenUsed/>
    <w:rsid w:val="00A170A0"/>
    <w:rPr>
      <w:sz w:val="16"/>
      <w:szCs w:val="16"/>
    </w:rPr>
  </w:style>
  <w:style w:type="paragraph" w:styleId="CommentText">
    <w:name w:val="annotation text"/>
    <w:basedOn w:val="Normal"/>
    <w:link w:val="CommentTextChar"/>
    <w:uiPriority w:val="99"/>
    <w:unhideWhenUsed/>
    <w:rsid w:val="00A170A0"/>
    <w:rPr>
      <w:sz w:val="20"/>
      <w:szCs w:val="20"/>
    </w:rPr>
  </w:style>
  <w:style w:type="character" w:customStyle="1" w:styleId="CommentTextChar">
    <w:name w:val="Comment Text Char"/>
    <w:basedOn w:val="DefaultParagraphFont"/>
    <w:link w:val="CommentText"/>
    <w:uiPriority w:val="99"/>
    <w:rsid w:val="00A170A0"/>
    <w:rPr>
      <w:rFonts w:ascii="Verdana" w:hAnsi="Verdana" w:cs="Verdana"/>
      <w:sz w:val="20"/>
      <w:szCs w:val="20"/>
      <w:lang w:val="en-GB"/>
    </w:rPr>
  </w:style>
  <w:style w:type="paragraph" w:styleId="CommentSubject">
    <w:name w:val="annotation subject"/>
    <w:basedOn w:val="CommentText"/>
    <w:next w:val="CommentText"/>
    <w:link w:val="CommentSubjectChar"/>
    <w:uiPriority w:val="99"/>
    <w:semiHidden/>
    <w:unhideWhenUsed/>
    <w:rsid w:val="00A170A0"/>
    <w:rPr>
      <w:b/>
      <w:bCs/>
    </w:rPr>
  </w:style>
  <w:style w:type="character" w:customStyle="1" w:styleId="CommentSubjectChar">
    <w:name w:val="Comment Subject Char"/>
    <w:basedOn w:val="CommentTextChar"/>
    <w:link w:val="CommentSubject"/>
    <w:uiPriority w:val="99"/>
    <w:semiHidden/>
    <w:rsid w:val="00A170A0"/>
    <w:rPr>
      <w:rFonts w:ascii="Verdana" w:hAnsi="Verdana" w:cs="Verdana"/>
      <w:b/>
      <w:bCs/>
      <w:sz w:val="20"/>
      <w:szCs w:val="20"/>
      <w:lang w:val="en-GB"/>
    </w:rPr>
  </w:style>
  <w:style w:type="paragraph" w:customStyle="1" w:styleId="DNVGL-Hidden">
    <w:name w:val="DNVGL-Hidden"/>
    <w:basedOn w:val="Normal"/>
    <w:next w:val="BodyText"/>
    <w:link w:val="DNVGL-HiddenChar"/>
    <w:uiPriority w:val="99"/>
    <w:rsid w:val="006D75B3"/>
    <w:rPr>
      <w:noProof/>
      <w:vanish/>
      <w:color w:val="FF0000"/>
    </w:rPr>
  </w:style>
  <w:style w:type="character" w:customStyle="1" w:styleId="DNVGL-HiddenChar">
    <w:name w:val="DNVGL-Hidden Char"/>
    <w:basedOn w:val="DefaultParagraphFont"/>
    <w:link w:val="DNVGL-Hidden"/>
    <w:uiPriority w:val="99"/>
    <w:rsid w:val="006D75B3"/>
    <w:rPr>
      <w:rFonts w:ascii="Verdana" w:hAnsi="Verdana" w:cs="Verdana"/>
      <w:noProof/>
      <w:vanish/>
      <w:color w:val="FF0000"/>
      <w:sz w:val="18"/>
      <w:szCs w:val="18"/>
      <w:lang w:val="en-GB"/>
    </w:rPr>
  </w:style>
  <w:style w:type="paragraph" w:customStyle="1" w:styleId="DNVGL-Details">
    <w:name w:val="DNVGL-Details"/>
    <w:basedOn w:val="Normal"/>
    <w:link w:val="DNVGL-DetailsChar"/>
    <w:uiPriority w:val="99"/>
    <w:rsid w:val="006D75B3"/>
    <w:pPr>
      <w:keepLines/>
      <w:spacing w:line="280" w:lineRule="atLeast"/>
    </w:pPr>
    <w:rPr>
      <w:noProof/>
    </w:rPr>
  </w:style>
  <w:style w:type="character" w:customStyle="1" w:styleId="DNVGL-DetailsChar">
    <w:name w:val="DNVGL-Details Char"/>
    <w:basedOn w:val="DefaultParagraphFont"/>
    <w:link w:val="DNVGL-Details"/>
    <w:uiPriority w:val="99"/>
    <w:rsid w:val="006D75B3"/>
    <w:rPr>
      <w:rFonts w:ascii="Verdana" w:hAnsi="Verdana" w:cs="Verdana"/>
      <w:noProof/>
      <w:sz w:val="18"/>
      <w:szCs w:val="18"/>
      <w:lang w:val="en-GB"/>
    </w:rPr>
  </w:style>
  <w:style w:type="paragraph" w:styleId="Header">
    <w:name w:val="header"/>
    <w:basedOn w:val="Normal"/>
    <w:link w:val="HeaderChar"/>
    <w:uiPriority w:val="99"/>
    <w:unhideWhenUsed/>
    <w:rsid w:val="006D75B3"/>
    <w:pPr>
      <w:tabs>
        <w:tab w:val="center" w:pos="4680"/>
        <w:tab w:val="right" w:pos="9360"/>
      </w:tabs>
    </w:pPr>
  </w:style>
  <w:style w:type="character" w:customStyle="1" w:styleId="HeaderChar">
    <w:name w:val="Header Char"/>
    <w:basedOn w:val="DefaultParagraphFont"/>
    <w:link w:val="Header"/>
    <w:uiPriority w:val="99"/>
    <w:rsid w:val="006D75B3"/>
    <w:rPr>
      <w:rFonts w:ascii="Verdana" w:hAnsi="Verdana" w:cs="Verdana"/>
      <w:sz w:val="18"/>
      <w:szCs w:val="18"/>
      <w:lang w:val="en-GB"/>
    </w:rPr>
  </w:style>
  <w:style w:type="paragraph" w:styleId="Footer">
    <w:name w:val="footer"/>
    <w:basedOn w:val="Normal"/>
    <w:link w:val="FooterChar"/>
    <w:uiPriority w:val="99"/>
    <w:unhideWhenUsed/>
    <w:rsid w:val="006D75B3"/>
    <w:pPr>
      <w:tabs>
        <w:tab w:val="center" w:pos="4680"/>
        <w:tab w:val="right" w:pos="9360"/>
      </w:tabs>
    </w:pPr>
  </w:style>
  <w:style w:type="character" w:customStyle="1" w:styleId="FooterChar">
    <w:name w:val="Footer Char"/>
    <w:basedOn w:val="DefaultParagraphFont"/>
    <w:link w:val="Footer"/>
    <w:uiPriority w:val="99"/>
    <w:rsid w:val="006D75B3"/>
    <w:rPr>
      <w:rFonts w:ascii="Verdana" w:hAnsi="Verdana" w:cs="Verdana"/>
      <w:sz w:val="18"/>
      <w:szCs w:val="18"/>
      <w:lang w:val="en-GB"/>
    </w:rPr>
  </w:style>
  <w:style w:type="table" w:customStyle="1" w:styleId="Default">
    <w:name w:val="Default"/>
    <w:basedOn w:val="TableNormal"/>
    <w:uiPriority w:val="99"/>
    <w:qFormat/>
    <w:rsid w:val="005D2C39"/>
    <w:pPr>
      <w:spacing w:before="20" w:after="20" w:line="312" w:lineRule="auto"/>
    </w:pPr>
    <w:rPr>
      <w:rFonts w:eastAsia="Times New Roman" w:cs="Times New Roman"/>
      <w:sz w:val="20"/>
      <w:lang w:eastAsia="en-US"/>
    </w:rPr>
    <w:tblPr>
      <w:tblStyleRow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pPr>
        <w:wordWrap/>
        <w:spacing w:beforeLines="20" w:beforeAutospacing="0" w:afterLines="20" w:afterAutospacing="0" w:line="312" w:lineRule="auto"/>
        <w:ind w:leftChars="0" w:left="0" w:rightChars="0" w:right="0" w:firstLineChars="0" w:firstLine="0"/>
        <w:jc w:val="center"/>
        <w:outlineLvl w:val="9"/>
      </w:pPr>
      <w:rPr>
        <w:rFonts w:ascii="Times New Roman" w:hAnsi="Times New Roman"/>
        <w:b/>
        <w:color w:val="FFFFFF" w:themeColor="background1"/>
        <w:sz w:val="20"/>
      </w:rPr>
      <w:tblPr/>
      <w:tcPr>
        <w:tcBorders>
          <w:top w:val="single" w:sz="4" w:space="0" w:color="666666"/>
          <w:left w:val="single" w:sz="4" w:space="0" w:color="666666"/>
          <w:bottom w:val="single" w:sz="4" w:space="0" w:color="666666"/>
          <w:right w:val="single" w:sz="4" w:space="0" w:color="666666"/>
          <w:insideH w:val="single" w:sz="4" w:space="0" w:color="666666"/>
          <w:insideV w:val="single" w:sz="4" w:space="0" w:color="666666"/>
        </w:tcBorders>
        <w:shd w:val="clear" w:color="auto" w:fill="002776"/>
      </w:tcPr>
    </w:tblStylePr>
    <w:tblStylePr w:type="lastRow">
      <w:rPr>
        <w:rFonts w:ascii="Times New Roman" w:hAnsi="Times New Roman"/>
        <w:sz w:val="20"/>
      </w:rPr>
    </w:tblStylePr>
    <w:tblStylePr w:type="firstCol">
      <w:rPr>
        <w:rFonts w:ascii="Times New Roman" w:hAnsi="Times New Roman"/>
        <w:b w:val="0"/>
        <w:color w:val="auto"/>
        <w:sz w:val="20"/>
      </w:rPr>
    </w:tblStylePr>
    <w:tblStylePr w:type="band1Horz">
      <w:pPr>
        <w:wordWrap/>
        <w:spacing w:beforeLines="0" w:beforeAutospacing="0" w:afterLines="0" w:afterAutospacing="0" w:line="312" w:lineRule="auto"/>
        <w:ind w:leftChars="0" w:left="0" w:rightChars="0" w:right="0" w:firstLineChars="0" w:firstLine="0"/>
        <w:jc w:val="left"/>
        <w:outlineLvl w:val="9"/>
      </w:pPr>
      <w:rPr>
        <w:rFonts w:ascii="Times New Roman" w:hAnsi="Times New Roman"/>
        <w:sz w:val="20"/>
      </w:rPr>
    </w:tblStylePr>
    <w:tblStylePr w:type="band2Horz">
      <w:pPr>
        <w:wordWrap/>
        <w:spacing w:beforeLines="0" w:beforeAutospacing="0" w:afterLines="0" w:afterAutospacing="0" w:line="312" w:lineRule="auto"/>
        <w:ind w:leftChars="0" w:left="0" w:rightChars="0" w:right="0" w:firstLineChars="0" w:firstLine="0"/>
        <w:jc w:val="left"/>
        <w:outlineLvl w:val="9"/>
      </w:pPr>
      <w:rPr>
        <w:rFonts w:ascii="Times New Roman" w:hAnsi="Times New Roman"/>
        <w:sz w:val="20"/>
      </w:rPr>
    </w:tblStylePr>
  </w:style>
  <w:style w:type="paragraph" w:customStyle="1" w:styleId="ParaText">
    <w:name w:val="ParaText"/>
    <w:basedOn w:val="Normal"/>
    <w:link w:val="ParaTextChar"/>
    <w:qFormat/>
    <w:rsid w:val="009047B2"/>
    <w:pPr>
      <w:spacing w:after="240" w:line="312" w:lineRule="auto"/>
    </w:pPr>
    <w:rPr>
      <w:rFonts w:ascii="Times New Roman" w:eastAsia="Times New Roman" w:hAnsi="Times New Roman" w:cs="Times New Roman"/>
      <w:sz w:val="22"/>
      <w:szCs w:val="22"/>
      <w:lang w:val="en-US" w:eastAsia="en-US"/>
    </w:rPr>
  </w:style>
  <w:style w:type="character" w:customStyle="1" w:styleId="ParaTextChar">
    <w:name w:val="ParaText Char"/>
    <w:basedOn w:val="DefaultParagraphFont"/>
    <w:link w:val="ParaText"/>
    <w:uiPriority w:val="99"/>
    <w:rsid w:val="009047B2"/>
    <w:rPr>
      <w:rFonts w:ascii="Times New Roman" w:eastAsia="Times New Roman" w:hAnsi="Times New Roman" w:cs="Times New Roman"/>
      <w:lang w:eastAsia="en-US"/>
    </w:rPr>
  </w:style>
  <w:style w:type="paragraph" w:styleId="ListBullet">
    <w:name w:val="List Bullet"/>
    <w:basedOn w:val="Normal"/>
    <w:uiPriority w:val="99"/>
    <w:rsid w:val="00165A43"/>
    <w:pPr>
      <w:numPr>
        <w:numId w:val="2"/>
      </w:numPr>
      <w:ind w:left="0" w:firstLine="0"/>
      <w:contextualSpacing/>
    </w:pPr>
  </w:style>
  <w:style w:type="paragraph" w:styleId="FootnoteText">
    <w:name w:val="footnote text"/>
    <w:basedOn w:val="Normal"/>
    <w:link w:val="FootnoteTextChar"/>
    <w:unhideWhenUsed/>
    <w:rsid w:val="00A94DDE"/>
    <w:pPr>
      <w:spacing w:after="60" w:line="240" w:lineRule="atLeast"/>
      <w:ind w:left="288" w:hanging="288"/>
      <w:jc w:val="both"/>
    </w:pPr>
    <w:rPr>
      <w:rFonts w:ascii="Tms Rmn" w:hAnsi="Tms Rmn" w:cs="Times New Roman"/>
      <w:sz w:val="20"/>
      <w:szCs w:val="20"/>
      <w:lang w:val="en-US"/>
    </w:rPr>
  </w:style>
  <w:style w:type="character" w:customStyle="1" w:styleId="FootnoteTextChar">
    <w:name w:val="Footnote Text Char"/>
    <w:basedOn w:val="DefaultParagraphFont"/>
    <w:link w:val="FootnoteText"/>
    <w:rsid w:val="00A94DDE"/>
    <w:rPr>
      <w:rFonts w:ascii="Tms Rmn" w:hAnsi="Tms Rmn" w:cs="Times New Roman"/>
      <w:sz w:val="20"/>
      <w:szCs w:val="20"/>
    </w:rPr>
  </w:style>
  <w:style w:type="paragraph" w:styleId="Caption">
    <w:name w:val="caption"/>
    <w:basedOn w:val="Normal"/>
    <w:uiPriority w:val="99"/>
    <w:unhideWhenUsed/>
    <w:qFormat/>
    <w:rsid w:val="00A94DDE"/>
    <w:pPr>
      <w:keepNext/>
      <w:spacing w:before="120" w:after="120" w:line="320" w:lineRule="atLeast"/>
    </w:pPr>
    <w:rPr>
      <w:rFonts w:ascii="Arial" w:hAnsi="Arial" w:cs="Arial"/>
      <w:b/>
      <w:bCs/>
      <w:sz w:val="24"/>
      <w:szCs w:val="24"/>
      <w:lang w:val="en-US"/>
    </w:rPr>
  </w:style>
  <w:style w:type="character" w:styleId="FootnoteReference">
    <w:name w:val="footnote reference"/>
    <w:basedOn w:val="DefaultParagraphFont"/>
    <w:unhideWhenUsed/>
    <w:rsid w:val="00A94DDE"/>
    <w:rPr>
      <w:position w:val="6"/>
    </w:rPr>
  </w:style>
  <w:style w:type="paragraph" w:styleId="TOC9">
    <w:name w:val="toc 9"/>
    <w:basedOn w:val="Normal"/>
    <w:next w:val="Normal"/>
    <w:autoRedefine/>
    <w:semiHidden/>
    <w:rsid w:val="000C0978"/>
    <w:pPr>
      <w:tabs>
        <w:tab w:val="right" w:leader="dot" w:pos="9360"/>
      </w:tabs>
    </w:pPr>
    <w:rPr>
      <w:rFonts w:ascii="Arial" w:eastAsia="Times New Roman" w:hAnsi="Arial" w:cs="Arial"/>
      <w:noProof/>
      <w:sz w:val="22"/>
      <w:szCs w:val="22"/>
      <w:lang w:val="en-US" w:eastAsia="en-US"/>
    </w:rPr>
  </w:style>
  <w:style w:type="paragraph" w:customStyle="1" w:styleId="1">
    <w:name w:val="1"/>
    <w:aliases w:val="a,i Seq"/>
    <w:basedOn w:val="Normal"/>
    <w:rsid w:val="000C0978"/>
    <w:pPr>
      <w:numPr>
        <w:numId w:val="3"/>
      </w:numPr>
      <w:tabs>
        <w:tab w:val="left" w:pos="1800"/>
        <w:tab w:val="left" w:pos="2160"/>
        <w:tab w:val="left" w:pos="2520"/>
        <w:tab w:val="left" w:pos="2880"/>
      </w:tabs>
      <w:spacing w:after="240" w:line="300" w:lineRule="auto"/>
    </w:pPr>
    <w:rPr>
      <w:rFonts w:ascii="Arial" w:eastAsia="Times New Roman" w:hAnsi="Arial" w:cs="Times New Roman"/>
      <w:sz w:val="22"/>
      <w:szCs w:val="22"/>
      <w:lang w:val="en-US" w:eastAsia="en-US"/>
    </w:rPr>
  </w:style>
  <w:style w:type="paragraph" w:customStyle="1" w:styleId="BulletedList">
    <w:name w:val="Bulleted List"/>
    <w:basedOn w:val="BodyText2"/>
    <w:rsid w:val="000C0978"/>
    <w:pPr>
      <w:numPr>
        <w:numId w:val="4"/>
      </w:numPr>
      <w:tabs>
        <w:tab w:val="clear" w:pos="1080"/>
        <w:tab w:val="num" w:pos="360"/>
        <w:tab w:val="num" w:pos="1440"/>
      </w:tabs>
      <w:spacing w:after="0" w:line="360" w:lineRule="auto"/>
      <w:ind w:left="1440"/>
    </w:pPr>
    <w:rPr>
      <w:rFonts w:ascii="Garamond" w:eastAsia="Times New Roman" w:hAnsi="Garamond" w:cs="Times New Roman"/>
      <w:sz w:val="22"/>
      <w:szCs w:val="24"/>
      <w:lang w:val="en-US" w:eastAsia="en-US"/>
    </w:rPr>
  </w:style>
  <w:style w:type="paragraph" w:styleId="BodyText2">
    <w:name w:val="Body Text 2"/>
    <w:basedOn w:val="Normal"/>
    <w:link w:val="BodyText2Char"/>
    <w:uiPriority w:val="99"/>
    <w:semiHidden/>
    <w:unhideWhenUsed/>
    <w:rsid w:val="000C0978"/>
    <w:pPr>
      <w:spacing w:after="120" w:line="480" w:lineRule="auto"/>
    </w:pPr>
  </w:style>
  <w:style w:type="character" w:customStyle="1" w:styleId="BodyText2Char">
    <w:name w:val="Body Text 2 Char"/>
    <w:basedOn w:val="DefaultParagraphFont"/>
    <w:link w:val="BodyText2"/>
    <w:uiPriority w:val="99"/>
    <w:semiHidden/>
    <w:rsid w:val="000C0978"/>
    <w:rPr>
      <w:rFonts w:ascii="Verdana" w:hAnsi="Verdana" w:cs="Verdana"/>
      <w:sz w:val="18"/>
      <w:szCs w:val="18"/>
      <w:lang w:val="en-GB"/>
    </w:rPr>
  </w:style>
  <w:style w:type="table" w:customStyle="1" w:styleId="AlternatingRows3">
    <w:name w:val="Alternating Rows3"/>
    <w:basedOn w:val="TableNormal"/>
    <w:uiPriority w:val="99"/>
    <w:rsid w:val="00443430"/>
    <w:pPr>
      <w:spacing w:before="20" w:after="20" w:line="288" w:lineRule="auto"/>
    </w:pPr>
    <w:rPr>
      <w:rFonts w:ascii="Verdana" w:eastAsia="Times New Roman" w:hAnsi="Verdana" w:cs="Times New Roman"/>
      <w:sz w:val="18"/>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BFBFBF" w:themeFill="background1" w:themeFillShade="BF"/>
      <w:vAlign w:val="center"/>
    </w:tcPr>
    <w:tblStylePr w:type="firstRow">
      <w:pPr>
        <w:wordWrap/>
        <w:jc w:val="center"/>
      </w:pPr>
      <w:rPr>
        <w:rFonts w:asciiTheme="majorHAnsi" w:hAnsiTheme="majorHAnsi"/>
        <w:b/>
        <w:color w:val="FFFFFF" w:themeColor="background1"/>
        <w:sz w:val="22"/>
      </w:rPr>
      <w:tblPr/>
      <w:tcPr>
        <w:shd w:val="clear" w:color="auto" w:fill="003591"/>
      </w:tcPr>
    </w:tblStylePr>
    <w:tblStylePr w:type="band1Horz">
      <w:tblPr/>
      <w:tcPr>
        <w:shd w:val="clear" w:color="auto" w:fill="FFFFFF" w:themeFill="background1"/>
      </w:tcPr>
    </w:tblStylePr>
    <w:tblStylePr w:type="band2Horz">
      <w:tblPr/>
      <w:tcPr>
        <w:shd w:val="clear" w:color="auto" w:fill="E5F5FB"/>
      </w:tcPr>
    </w:tblStylePr>
  </w:style>
  <w:style w:type="character" w:styleId="Hyperlink">
    <w:name w:val="Hyperlink"/>
    <w:basedOn w:val="DefaultParagraphFont"/>
    <w:uiPriority w:val="99"/>
    <w:unhideWhenUsed/>
    <w:rsid w:val="00C56AD4"/>
    <w:rPr>
      <w:color w:val="0000FF" w:themeColor="hyperlink"/>
      <w:u w:val="single"/>
    </w:rPr>
  </w:style>
  <w:style w:type="paragraph" w:styleId="NoSpacing">
    <w:name w:val="No Spacing"/>
    <w:uiPriority w:val="1"/>
    <w:qFormat/>
    <w:rsid w:val="00B76ACC"/>
    <w:pPr>
      <w:spacing w:after="0" w:line="240" w:lineRule="auto"/>
    </w:pPr>
    <w:rPr>
      <w:rFonts w:asciiTheme="majorBidi" w:hAnsiTheme="majorBidi" w:cs="Verdana"/>
      <w:szCs w:val="18"/>
      <w:lang w:val="en-GB"/>
    </w:rPr>
  </w:style>
  <w:style w:type="paragraph" w:styleId="Revision">
    <w:name w:val="Revision"/>
    <w:hidden/>
    <w:uiPriority w:val="99"/>
    <w:semiHidden/>
    <w:rsid w:val="009104CE"/>
    <w:pPr>
      <w:spacing w:after="0" w:line="240" w:lineRule="auto"/>
    </w:pPr>
    <w:rPr>
      <w:rFonts w:ascii="Verdana" w:hAnsi="Verdana" w:cs="Verdana"/>
      <w:sz w:val="18"/>
      <w:szCs w:val="18"/>
      <w:lang w:val="en-GB"/>
    </w:rPr>
  </w:style>
  <w:style w:type="paragraph" w:styleId="Bibliography">
    <w:name w:val="Bibliography"/>
    <w:basedOn w:val="Normal"/>
    <w:next w:val="Normal"/>
    <w:uiPriority w:val="37"/>
    <w:semiHidden/>
    <w:unhideWhenUsed/>
    <w:rsid w:val="00AE18C0"/>
    <w:pPr>
      <w:spacing w:after="200" w:line="276" w:lineRule="auto"/>
    </w:pPr>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semiHidden/>
    <w:unhideWhenUsed/>
    <w:rsid w:val="00387592"/>
    <w:rPr>
      <w:rFonts w:ascii="Calibri" w:eastAsiaTheme="minorHAnsi" w:hAnsi="Calibri" w:cs="Times New Roman"/>
      <w:sz w:val="22"/>
      <w:szCs w:val="22"/>
      <w:lang w:val="en-US" w:eastAsia="en-US"/>
    </w:rPr>
  </w:style>
  <w:style w:type="character" w:customStyle="1" w:styleId="PlainTextChar">
    <w:name w:val="Plain Text Char"/>
    <w:basedOn w:val="DefaultParagraphFont"/>
    <w:link w:val="PlainText"/>
    <w:uiPriority w:val="99"/>
    <w:semiHidden/>
    <w:rsid w:val="00387592"/>
    <w:rPr>
      <w:rFonts w:ascii="Calibri" w:eastAsiaTheme="minorHAnsi" w:hAnsi="Calibri" w:cs="Times New Roman"/>
      <w:lang w:eastAsia="en-US"/>
    </w:rPr>
  </w:style>
  <w:style w:type="character" w:styleId="FollowedHyperlink">
    <w:name w:val="FollowedHyperlink"/>
    <w:basedOn w:val="DefaultParagraphFont"/>
    <w:uiPriority w:val="99"/>
    <w:semiHidden/>
    <w:unhideWhenUsed/>
    <w:rsid w:val="0034228D"/>
    <w:rPr>
      <w:color w:val="800080" w:themeColor="followedHyperlink"/>
      <w:u w:val="single"/>
    </w:rPr>
  </w:style>
  <w:style w:type="paragraph" w:styleId="EndnoteText">
    <w:name w:val="endnote text"/>
    <w:basedOn w:val="Normal"/>
    <w:link w:val="EndnoteTextChar"/>
    <w:uiPriority w:val="99"/>
    <w:semiHidden/>
    <w:unhideWhenUsed/>
    <w:rsid w:val="00952CC8"/>
    <w:rPr>
      <w:sz w:val="20"/>
      <w:szCs w:val="20"/>
    </w:rPr>
  </w:style>
  <w:style w:type="character" w:customStyle="1" w:styleId="EndnoteTextChar">
    <w:name w:val="Endnote Text Char"/>
    <w:basedOn w:val="DefaultParagraphFont"/>
    <w:link w:val="EndnoteText"/>
    <w:uiPriority w:val="99"/>
    <w:semiHidden/>
    <w:rsid w:val="00952CC8"/>
    <w:rPr>
      <w:rFonts w:ascii="Verdana" w:hAnsi="Verdana" w:cs="Verdana"/>
      <w:sz w:val="20"/>
      <w:szCs w:val="20"/>
      <w:lang w:val="en-GB"/>
    </w:rPr>
  </w:style>
  <w:style w:type="character" w:styleId="EndnoteReference">
    <w:name w:val="endnote reference"/>
    <w:basedOn w:val="DefaultParagraphFont"/>
    <w:uiPriority w:val="99"/>
    <w:semiHidden/>
    <w:unhideWhenUsed/>
    <w:rsid w:val="00952C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4624">
      <w:bodyDiv w:val="1"/>
      <w:marLeft w:val="0"/>
      <w:marRight w:val="0"/>
      <w:marTop w:val="0"/>
      <w:marBottom w:val="0"/>
      <w:divBdr>
        <w:top w:val="none" w:sz="0" w:space="0" w:color="auto"/>
        <w:left w:val="none" w:sz="0" w:space="0" w:color="auto"/>
        <w:bottom w:val="none" w:sz="0" w:space="0" w:color="auto"/>
        <w:right w:val="none" w:sz="0" w:space="0" w:color="auto"/>
      </w:divBdr>
    </w:div>
    <w:div w:id="211161381">
      <w:bodyDiv w:val="1"/>
      <w:marLeft w:val="0"/>
      <w:marRight w:val="0"/>
      <w:marTop w:val="0"/>
      <w:marBottom w:val="0"/>
      <w:divBdr>
        <w:top w:val="none" w:sz="0" w:space="0" w:color="auto"/>
        <w:left w:val="none" w:sz="0" w:space="0" w:color="auto"/>
        <w:bottom w:val="none" w:sz="0" w:space="0" w:color="auto"/>
        <w:right w:val="none" w:sz="0" w:space="0" w:color="auto"/>
      </w:divBdr>
      <w:divsChild>
        <w:div w:id="286201622">
          <w:marLeft w:val="1310"/>
          <w:marRight w:val="0"/>
          <w:marTop w:val="120"/>
          <w:marBottom w:val="0"/>
          <w:divBdr>
            <w:top w:val="none" w:sz="0" w:space="0" w:color="auto"/>
            <w:left w:val="none" w:sz="0" w:space="0" w:color="auto"/>
            <w:bottom w:val="none" w:sz="0" w:space="0" w:color="auto"/>
            <w:right w:val="none" w:sz="0" w:space="0" w:color="auto"/>
          </w:divBdr>
        </w:div>
        <w:div w:id="1299917057">
          <w:marLeft w:val="1310"/>
          <w:marRight w:val="0"/>
          <w:marTop w:val="120"/>
          <w:marBottom w:val="0"/>
          <w:divBdr>
            <w:top w:val="none" w:sz="0" w:space="0" w:color="auto"/>
            <w:left w:val="none" w:sz="0" w:space="0" w:color="auto"/>
            <w:bottom w:val="none" w:sz="0" w:space="0" w:color="auto"/>
            <w:right w:val="none" w:sz="0" w:space="0" w:color="auto"/>
          </w:divBdr>
        </w:div>
      </w:divsChild>
    </w:div>
    <w:div w:id="245112628">
      <w:bodyDiv w:val="1"/>
      <w:marLeft w:val="0"/>
      <w:marRight w:val="0"/>
      <w:marTop w:val="0"/>
      <w:marBottom w:val="0"/>
      <w:divBdr>
        <w:top w:val="none" w:sz="0" w:space="0" w:color="auto"/>
        <w:left w:val="none" w:sz="0" w:space="0" w:color="auto"/>
        <w:bottom w:val="none" w:sz="0" w:space="0" w:color="auto"/>
        <w:right w:val="none" w:sz="0" w:space="0" w:color="auto"/>
      </w:divBdr>
    </w:div>
    <w:div w:id="271476585">
      <w:bodyDiv w:val="1"/>
      <w:marLeft w:val="0"/>
      <w:marRight w:val="0"/>
      <w:marTop w:val="0"/>
      <w:marBottom w:val="0"/>
      <w:divBdr>
        <w:top w:val="none" w:sz="0" w:space="0" w:color="auto"/>
        <w:left w:val="none" w:sz="0" w:space="0" w:color="auto"/>
        <w:bottom w:val="none" w:sz="0" w:space="0" w:color="auto"/>
        <w:right w:val="none" w:sz="0" w:space="0" w:color="auto"/>
      </w:divBdr>
    </w:div>
    <w:div w:id="312368744">
      <w:bodyDiv w:val="1"/>
      <w:marLeft w:val="0"/>
      <w:marRight w:val="0"/>
      <w:marTop w:val="0"/>
      <w:marBottom w:val="0"/>
      <w:divBdr>
        <w:top w:val="none" w:sz="0" w:space="0" w:color="auto"/>
        <w:left w:val="none" w:sz="0" w:space="0" w:color="auto"/>
        <w:bottom w:val="none" w:sz="0" w:space="0" w:color="auto"/>
        <w:right w:val="none" w:sz="0" w:space="0" w:color="auto"/>
      </w:divBdr>
    </w:div>
    <w:div w:id="333922260">
      <w:bodyDiv w:val="1"/>
      <w:marLeft w:val="0"/>
      <w:marRight w:val="0"/>
      <w:marTop w:val="0"/>
      <w:marBottom w:val="0"/>
      <w:divBdr>
        <w:top w:val="none" w:sz="0" w:space="0" w:color="auto"/>
        <w:left w:val="none" w:sz="0" w:space="0" w:color="auto"/>
        <w:bottom w:val="none" w:sz="0" w:space="0" w:color="auto"/>
        <w:right w:val="none" w:sz="0" w:space="0" w:color="auto"/>
      </w:divBdr>
    </w:div>
    <w:div w:id="340669791">
      <w:bodyDiv w:val="1"/>
      <w:marLeft w:val="0"/>
      <w:marRight w:val="0"/>
      <w:marTop w:val="0"/>
      <w:marBottom w:val="0"/>
      <w:divBdr>
        <w:top w:val="none" w:sz="0" w:space="0" w:color="auto"/>
        <w:left w:val="none" w:sz="0" w:space="0" w:color="auto"/>
        <w:bottom w:val="none" w:sz="0" w:space="0" w:color="auto"/>
        <w:right w:val="none" w:sz="0" w:space="0" w:color="auto"/>
      </w:divBdr>
    </w:div>
    <w:div w:id="368535900">
      <w:bodyDiv w:val="1"/>
      <w:marLeft w:val="0"/>
      <w:marRight w:val="0"/>
      <w:marTop w:val="0"/>
      <w:marBottom w:val="0"/>
      <w:divBdr>
        <w:top w:val="none" w:sz="0" w:space="0" w:color="auto"/>
        <w:left w:val="none" w:sz="0" w:space="0" w:color="auto"/>
        <w:bottom w:val="none" w:sz="0" w:space="0" w:color="auto"/>
        <w:right w:val="none" w:sz="0" w:space="0" w:color="auto"/>
      </w:divBdr>
    </w:div>
    <w:div w:id="413943192">
      <w:bodyDiv w:val="1"/>
      <w:marLeft w:val="0"/>
      <w:marRight w:val="0"/>
      <w:marTop w:val="0"/>
      <w:marBottom w:val="0"/>
      <w:divBdr>
        <w:top w:val="none" w:sz="0" w:space="0" w:color="auto"/>
        <w:left w:val="none" w:sz="0" w:space="0" w:color="auto"/>
        <w:bottom w:val="none" w:sz="0" w:space="0" w:color="auto"/>
        <w:right w:val="none" w:sz="0" w:space="0" w:color="auto"/>
      </w:divBdr>
    </w:div>
    <w:div w:id="475954568">
      <w:bodyDiv w:val="1"/>
      <w:marLeft w:val="0"/>
      <w:marRight w:val="0"/>
      <w:marTop w:val="0"/>
      <w:marBottom w:val="0"/>
      <w:divBdr>
        <w:top w:val="none" w:sz="0" w:space="0" w:color="auto"/>
        <w:left w:val="none" w:sz="0" w:space="0" w:color="auto"/>
        <w:bottom w:val="none" w:sz="0" w:space="0" w:color="auto"/>
        <w:right w:val="none" w:sz="0" w:space="0" w:color="auto"/>
      </w:divBdr>
    </w:div>
    <w:div w:id="552431339">
      <w:bodyDiv w:val="1"/>
      <w:marLeft w:val="0"/>
      <w:marRight w:val="0"/>
      <w:marTop w:val="0"/>
      <w:marBottom w:val="0"/>
      <w:divBdr>
        <w:top w:val="none" w:sz="0" w:space="0" w:color="auto"/>
        <w:left w:val="none" w:sz="0" w:space="0" w:color="auto"/>
        <w:bottom w:val="none" w:sz="0" w:space="0" w:color="auto"/>
        <w:right w:val="none" w:sz="0" w:space="0" w:color="auto"/>
      </w:divBdr>
    </w:div>
    <w:div w:id="558054430">
      <w:bodyDiv w:val="1"/>
      <w:marLeft w:val="0"/>
      <w:marRight w:val="0"/>
      <w:marTop w:val="0"/>
      <w:marBottom w:val="0"/>
      <w:divBdr>
        <w:top w:val="none" w:sz="0" w:space="0" w:color="auto"/>
        <w:left w:val="none" w:sz="0" w:space="0" w:color="auto"/>
        <w:bottom w:val="none" w:sz="0" w:space="0" w:color="auto"/>
        <w:right w:val="none" w:sz="0" w:space="0" w:color="auto"/>
      </w:divBdr>
    </w:div>
    <w:div w:id="836576728">
      <w:bodyDiv w:val="1"/>
      <w:marLeft w:val="0"/>
      <w:marRight w:val="0"/>
      <w:marTop w:val="0"/>
      <w:marBottom w:val="0"/>
      <w:divBdr>
        <w:top w:val="none" w:sz="0" w:space="0" w:color="auto"/>
        <w:left w:val="none" w:sz="0" w:space="0" w:color="auto"/>
        <w:bottom w:val="none" w:sz="0" w:space="0" w:color="auto"/>
        <w:right w:val="none" w:sz="0" w:space="0" w:color="auto"/>
      </w:divBdr>
    </w:div>
    <w:div w:id="886726026">
      <w:bodyDiv w:val="1"/>
      <w:marLeft w:val="0"/>
      <w:marRight w:val="0"/>
      <w:marTop w:val="0"/>
      <w:marBottom w:val="0"/>
      <w:divBdr>
        <w:top w:val="none" w:sz="0" w:space="0" w:color="auto"/>
        <w:left w:val="none" w:sz="0" w:space="0" w:color="auto"/>
        <w:bottom w:val="none" w:sz="0" w:space="0" w:color="auto"/>
        <w:right w:val="none" w:sz="0" w:space="0" w:color="auto"/>
      </w:divBdr>
    </w:div>
    <w:div w:id="936333163">
      <w:bodyDiv w:val="1"/>
      <w:marLeft w:val="0"/>
      <w:marRight w:val="0"/>
      <w:marTop w:val="0"/>
      <w:marBottom w:val="0"/>
      <w:divBdr>
        <w:top w:val="none" w:sz="0" w:space="0" w:color="auto"/>
        <w:left w:val="none" w:sz="0" w:space="0" w:color="auto"/>
        <w:bottom w:val="none" w:sz="0" w:space="0" w:color="auto"/>
        <w:right w:val="none" w:sz="0" w:space="0" w:color="auto"/>
      </w:divBdr>
    </w:div>
    <w:div w:id="943464029">
      <w:bodyDiv w:val="1"/>
      <w:marLeft w:val="0"/>
      <w:marRight w:val="0"/>
      <w:marTop w:val="0"/>
      <w:marBottom w:val="0"/>
      <w:divBdr>
        <w:top w:val="none" w:sz="0" w:space="0" w:color="auto"/>
        <w:left w:val="none" w:sz="0" w:space="0" w:color="auto"/>
        <w:bottom w:val="none" w:sz="0" w:space="0" w:color="auto"/>
        <w:right w:val="none" w:sz="0" w:space="0" w:color="auto"/>
      </w:divBdr>
    </w:div>
    <w:div w:id="1088960475">
      <w:bodyDiv w:val="1"/>
      <w:marLeft w:val="0"/>
      <w:marRight w:val="0"/>
      <w:marTop w:val="0"/>
      <w:marBottom w:val="0"/>
      <w:divBdr>
        <w:top w:val="none" w:sz="0" w:space="0" w:color="auto"/>
        <w:left w:val="none" w:sz="0" w:space="0" w:color="auto"/>
        <w:bottom w:val="none" w:sz="0" w:space="0" w:color="auto"/>
        <w:right w:val="none" w:sz="0" w:space="0" w:color="auto"/>
      </w:divBdr>
    </w:div>
    <w:div w:id="1173884038">
      <w:bodyDiv w:val="1"/>
      <w:marLeft w:val="0"/>
      <w:marRight w:val="0"/>
      <w:marTop w:val="0"/>
      <w:marBottom w:val="0"/>
      <w:divBdr>
        <w:top w:val="none" w:sz="0" w:space="0" w:color="auto"/>
        <w:left w:val="none" w:sz="0" w:space="0" w:color="auto"/>
        <w:bottom w:val="none" w:sz="0" w:space="0" w:color="auto"/>
        <w:right w:val="none" w:sz="0" w:space="0" w:color="auto"/>
      </w:divBdr>
    </w:div>
    <w:div w:id="1186598063">
      <w:bodyDiv w:val="1"/>
      <w:marLeft w:val="0"/>
      <w:marRight w:val="0"/>
      <w:marTop w:val="0"/>
      <w:marBottom w:val="0"/>
      <w:divBdr>
        <w:top w:val="none" w:sz="0" w:space="0" w:color="auto"/>
        <w:left w:val="none" w:sz="0" w:space="0" w:color="auto"/>
        <w:bottom w:val="none" w:sz="0" w:space="0" w:color="auto"/>
        <w:right w:val="none" w:sz="0" w:space="0" w:color="auto"/>
      </w:divBdr>
    </w:div>
    <w:div w:id="1211191194">
      <w:bodyDiv w:val="1"/>
      <w:marLeft w:val="0"/>
      <w:marRight w:val="0"/>
      <w:marTop w:val="0"/>
      <w:marBottom w:val="0"/>
      <w:divBdr>
        <w:top w:val="none" w:sz="0" w:space="0" w:color="auto"/>
        <w:left w:val="none" w:sz="0" w:space="0" w:color="auto"/>
        <w:bottom w:val="none" w:sz="0" w:space="0" w:color="auto"/>
        <w:right w:val="none" w:sz="0" w:space="0" w:color="auto"/>
      </w:divBdr>
    </w:div>
    <w:div w:id="1436905464">
      <w:bodyDiv w:val="1"/>
      <w:marLeft w:val="0"/>
      <w:marRight w:val="0"/>
      <w:marTop w:val="0"/>
      <w:marBottom w:val="0"/>
      <w:divBdr>
        <w:top w:val="none" w:sz="0" w:space="0" w:color="auto"/>
        <w:left w:val="none" w:sz="0" w:space="0" w:color="auto"/>
        <w:bottom w:val="none" w:sz="0" w:space="0" w:color="auto"/>
        <w:right w:val="none" w:sz="0" w:space="0" w:color="auto"/>
      </w:divBdr>
    </w:div>
    <w:div w:id="1495950042">
      <w:bodyDiv w:val="1"/>
      <w:marLeft w:val="0"/>
      <w:marRight w:val="0"/>
      <w:marTop w:val="0"/>
      <w:marBottom w:val="0"/>
      <w:divBdr>
        <w:top w:val="none" w:sz="0" w:space="0" w:color="auto"/>
        <w:left w:val="none" w:sz="0" w:space="0" w:color="auto"/>
        <w:bottom w:val="none" w:sz="0" w:space="0" w:color="auto"/>
        <w:right w:val="none" w:sz="0" w:space="0" w:color="auto"/>
      </w:divBdr>
    </w:div>
    <w:div w:id="1500585765">
      <w:bodyDiv w:val="1"/>
      <w:marLeft w:val="0"/>
      <w:marRight w:val="0"/>
      <w:marTop w:val="0"/>
      <w:marBottom w:val="0"/>
      <w:divBdr>
        <w:top w:val="none" w:sz="0" w:space="0" w:color="auto"/>
        <w:left w:val="none" w:sz="0" w:space="0" w:color="auto"/>
        <w:bottom w:val="none" w:sz="0" w:space="0" w:color="auto"/>
        <w:right w:val="none" w:sz="0" w:space="0" w:color="auto"/>
      </w:divBdr>
    </w:div>
    <w:div w:id="1550650474">
      <w:bodyDiv w:val="1"/>
      <w:marLeft w:val="0"/>
      <w:marRight w:val="0"/>
      <w:marTop w:val="0"/>
      <w:marBottom w:val="0"/>
      <w:divBdr>
        <w:top w:val="none" w:sz="0" w:space="0" w:color="auto"/>
        <w:left w:val="none" w:sz="0" w:space="0" w:color="auto"/>
        <w:bottom w:val="none" w:sz="0" w:space="0" w:color="auto"/>
        <w:right w:val="none" w:sz="0" w:space="0" w:color="auto"/>
      </w:divBdr>
    </w:div>
    <w:div w:id="1663389426">
      <w:bodyDiv w:val="1"/>
      <w:marLeft w:val="0"/>
      <w:marRight w:val="0"/>
      <w:marTop w:val="0"/>
      <w:marBottom w:val="0"/>
      <w:divBdr>
        <w:top w:val="none" w:sz="0" w:space="0" w:color="auto"/>
        <w:left w:val="none" w:sz="0" w:space="0" w:color="auto"/>
        <w:bottom w:val="none" w:sz="0" w:space="0" w:color="auto"/>
        <w:right w:val="none" w:sz="0" w:space="0" w:color="auto"/>
      </w:divBdr>
    </w:div>
    <w:div w:id="195555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ghgdata.epa.gov/ghgp/main.do"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nas.org/content/112/7/1941.full.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www3.epa.gov/climatechange/Downloads/ghgemissions/US-GHG-Inventory-2016-Main-Tex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60377548960225"/>
          <c:y val="3.4133962466165638E-2"/>
          <c:w val="0.75211673060098261"/>
          <c:h val="0.85509581261400669"/>
        </c:manualLayout>
      </c:layout>
      <c:scatterChart>
        <c:scatterStyle val="lineMarker"/>
        <c:varyColors val="0"/>
        <c:ser>
          <c:idx val="0"/>
          <c:order val="0"/>
          <c:tx>
            <c:strRef>
              <c:f>'2030 + 2040 + 2050 Forecasts'!$C$76</c:f>
              <c:strCache>
                <c:ptCount val="1"/>
                <c:pt idx="0">
                  <c:v>BAU Projections</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8"/>
            <c:spPr>
              <a:solidFill>
                <a:schemeClr val="tx1">
                  <a:lumMod val="95000"/>
                  <a:lumOff val="5000"/>
                </a:schemeClr>
              </a:solidFill>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('2030 + 2040 + 2050 Forecasts'!$B$77,'2030 + 2040 + 2050 Forecasts'!$B$95,'2030 + 2040 + 2050 Forecasts'!$B$105,'2030 + 2040 + 2050 Forecasts'!$B$115)</c:f>
              <c:numCache>
                <c:formatCode>General</c:formatCode>
                <c:ptCount val="4"/>
                <c:pt idx="0">
                  <c:v>2012</c:v>
                </c:pt>
                <c:pt idx="1">
                  <c:v>2030</c:v>
                </c:pt>
                <c:pt idx="2">
                  <c:v>2040</c:v>
                </c:pt>
                <c:pt idx="3">
                  <c:v>2050</c:v>
                </c:pt>
              </c:numCache>
            </c:numRef>
          </c:xVal>
          <c:yVal>
            <c:numRef>
              <c:f>('2030 + 2040 + 2050 Forecasts'!$C$77,'2030 + 2040 + 2050 Forecasts'!$C$95,'2030 + 2040 + 2050 Forecasts'!$C$105,'2030 + 2040 + 2050 Forecasts'!$C$115)</c:f>
              <c:numCache>
                <c:formatCode>#,##0</c:formatCode>
                <c:ptCount val="4"/>
                <c:pt idx="0">
                  <c:v>1462236.4226174115</c:v>
                </c:pt>
                <c:pt idx="1">
                  <c:v>1677283.7077658377</c:v>
                </c:pt>
                <c:pt idx="2">
                  <c:v>1734681.2614733973</c:v>
                </c:pt>
                <c:pt idx="3">
                  <c:v>1809066.7312383614</c:v>
                </c:pt>
              </c:numCache>
            </c:numRef>
          </c:yVal>
          <c:smooth val="0"/>
          <c:extLst>
            <c:ext xmlns:c16="http://schemas.microsoft.com/office/drawing/2014/chart" uri="{C3380CC4-5D6E-409C-BE32-E72D297353CC}">
              <c16:uniqueId val="{00000000-3109-4882-AF90-D2561A7A7AB1}"/>
            </c:ext>
          </c:extLst>
        </c:ser>
        <c:dLbls>
          <c:showLegendKey val="0"/>
          <c:showVal val="0"/>
          <c:showCatName val="0"/>
          <c:showSerName val="0"/>
          <c:showPercent val="0"/>
          <c:showBubbleSize val="0"/>
        </c:dLbls>
        <c:axId val="178753536"/>
        <c:axId val="178754688"/>
      </c:scatterChart>
      <c:valAx>
        <c:axId val="178753536"/>
        <c:scaling>
          <c:orientation val="minMax"/>
          <c:max val="2050"/>
        </c:scaling>
        <c:delete val="0"/>
        <c:axPos val="b"/>
        <c:numFmt formatCode="General" sourceLinked="1"/>
        <c:majorTickMark val="out"/>
        <c:minorTickMark val="in"/>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8754688"/>
        <c:crosses val="autoZero"/>
        <c:crossBetween val="midCat"/>
        <c:majorUnit val="5"/>
        <c:minorUnit val="1"/>
      </c:valAx>
      <c:valAx>
        <c:axId val="178754688"/>
        <c:scaling>
          <c:orientation val="minMax"/>
          <c:max val="25000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MT CO2e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8753536"/>
        <c:crosses val="autoZero"/>
        <c:crossBetween val="midCat"/>
        <c:majorUnit val="2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0189783969309"/>
          <c:y val="2.4267286555050924E-2"/>
          <c:w val="0.59575730866257492"/>
          <c:h val="0.81816846934046039"/>
        </c:manualLayout>
      </c:layout>
      <c:scatterChart>
        <c:scatterStyle val="lineMarker"/>
        <c:varyColors val="0"/>
        <c:ser>
          <c:idx val="0"/>
          <c:order val="0"/>
          <c:tx>
            <c:strRef>
              <c:f>'2030 + 2040 + 2050 Forecasts'!$C$78</c:f>
              <c:strCache>
                <c:ptCount val="1"/>
                <c:pt idx="0">
                  <c:v>BAU Projections</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8"/>
            <c:spPr>
              <a:solidFill>
                <a:schemeClr val="tx1">
                  <a:lumMod val="95000"/>
                  <a:lumOff val="5000"/>
                </a:schemeClr>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('2030 + 2040 + 2050 Forecasts'!$B$79,'2030 + 2040 + 2050 Forecasts'!$B$97,'2030 + 2040 + 2050 Forecasts'!$B$107,'2030 + 2040 + 2050 Forecasts'!$B$117)</c:f>
              <c:numCache>
                <c:formatCode>General</c:formatCode>
                <c:ptCount val="4"/>
                <c:pt idx="0">
                  <c:v>2012</c:v>
                </c:pt>
                <c:pt idx="1">
                  <c:v>2030</c:v>
                </c:pt>
                <c:pt idx="2">
                  <c:v>2040</c:v>
                </c:pt>
                <c:pt idx="3">
                  <c:v>2050</c:v>
                </c:pt>
              </c:numCache>
            </c:numRef>
          </c:xVal>
          <c:yVal>
            <c:numRef>
              <c:f>('2030 + 2040 + 2050 Forecasts'!$C$79,'2030 + 2040 + 2050 Forecasts'!$C$97,'2030 + 2040 + 2050 Forecasts'!$C$107,'2030 + 2040 + 2050 Forecasts'!$C$117)</c:f>
              <c:numCache>
                <c:formatCode>#,##0</c:formatCode>
                <c:ptCount val="4"/>
                <c:pt idx="0">
                  <c:v>1462236.4226174115</c:v>
                </c:pt>
                <c:pt idx="1">
                  <c:v>1677283.7077658377</c:v>
                </c:pt>
                <c:pt idx="2">
                  <c:v>1734681.2614733973</c:v>
                </c:pt>
                <c:pt idx="3">
                  <c:v>1809066.7312383614</c:v>
                </c:pt>
              </c:numCache>
            </c:numRef>
          </c:yVal>
          <c:smooth val="0"/>
          <c:extLst>
            <c:ext xmlns:c16="http://schemas.microsoft.com/office/drawing/2014/chart" uri="{C3380CC4-5D6E-409C-BE32-E72D297353CC}">
              <c16:uniqueId val="{00000000-030F-4065-823C-09FF88C9696E}"/>
            </c:ext>
          </c:extLst>
        </c:ser>
        <c:ser>
          <c:idx val="1"/>
          <c:order val="1"/>
          <c:tx>
            <c:strRef>
              <c:f>'2030 + 2040 + 2050 Forecasts'!$D$78</c:f>
              <c:strCache>
                <c:ptCount val="1"/>
                <c:pt idx="0">
                  <c:v>BAU Projections w/ State Measures</c:v>
                </c:pt>
              </c:strCache>
            </c:strRef>
          </c:tx>
          <c:spPr>
            <a:ln w="31750"/>
            <a:effectLst>
              <a:outerShdw blurRad="40005" dist="22860" dir="5400000" algn="t" rotWithShape="0">
                <a:prstClr val="black">
                  <a:alpha val="40000"/>
                </a:prstClr>
              </a:outerShdw>
            </a:effectLst>
          </c:spPr>
          <c:marker>
            <c:symbol val="circle"/>
            <c:size val="8"/>
            <c:spPr>
              <a:solidFill>
                <a:schemeClr val="tx1">
                  <a:lumMod val="95000"/>
                  <a:lumOff val="5000"/>
                </a:schemeClr>
              </a:solidFill>
              <a:effectLst>
                <a:outerShdw blurRad="40005" dist="22860" dir="5400000" algn="t" rotWithShape="0">
                  <a:prstClr val="black">
                    <a:alpha val="40000"/>
                  </a:prst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030F-4065-823C-09FF88C9696E}"/>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('2030 + 2040 + 2050 Forecasts'!$B$79,'2030 + 2040 + 2050 Forecasts'!$B$97,'2030 + 2040 + 2050 Forecasts'!$B$107,'2030 + 2040 + 2050 Forecasts'!$B$117)</c:f>
              <c:numCache>
                <c:formatCode>General</c:formatCode>
                <c:ptCount val="4"/>
                <c:pt idx="0">
                  <c:v>2012</c:v>
                </c:pt>
                <c:pt idx="1">
                  <c:v>2030</c:v>
                </c:pt>
                <c:pt idx="2">
                  <c:v>2040</c:v>
                </c:pt>
                <c:pt idx="3">
                  <c:v>2050</c:v>
                </c:pt>
              </c:numCache>
            </c:numRef>
          </c:xVal>
          <c:yVal>
            <c:numRef>
              <c:f>('2030 + 2040 + 2050 Forecasts'!$D$79,'2030 + 2040 + 2050 Forecasts'!$D$97,'2030 + 2040 + 2050 Forecasts'!$D$107,'2030 + 2040 + 2050 Forecasts'!$D$117)</c:f>
              <c:numCache>
                <c:formatCode>#,##0</c:formatCode>
                <c:ptCount val="4"/>
                <c:pt idx="0">
                  <c:v>1462236.4226174115</c:v>
                </c:pt>
                <c:pt idx="1">
                  <c:v>1500065.4003531225</c:v>
                </c:pt>
                <c:pt idx="2">
                  <c:v>1471492.6923841685</c:v>
                </c:pt>
                <c:pt idx="3">
                  <c:v>1459711.6033470824</c:v>
                </c:pt>
              </c:numCache>
            </c:numRef>
          </c:yVal>
          <c:smooth val="0"/>
          <c:extLst>
            <c:ext xmlns:c16="http://schemas.microsoft.com/office/drawing/2014/chart" uri="{C3380CC4-5D6E-409C-BE32-E72D297353CC}">
              <c16:uniqueId val="{00000002-030F-4065-823C-09FF88C9696E}"/>
            </c:ext>
          </c:extLst>
        </c:ser>
        <c:dLbls>
          <c:showLegendKey val="0"/>
          <c:showVal val="0"/>
          <c:showCatName val="0"/>
          <c:showSerName val="0"/>
          <c:showPercent val="0"/>
          <c:showBubbleSize val="0"/>
        </c:dLbls>
        <c:axId val="187685504"/>
        <c:axId val="187687296"/>
      </c:scatterChart>
      <c:valAx>
        <c:axId val="187685504"/>
        <c:scaling>
          <c:orientation val="minMax"/>
          <c:max val="2050"/>
        </c:scaling>
        <c:delete val="0"/>
        <c:axPos val="b"/>
        <c:numFmt formatCode="General" sourceLinked="1"/>
        <c:majorTickMark val="out"/>
        <c:minorTickMark val="in"/>
        <c:tickLblPos val="nextTo"/>
        <c:spPr>
          <a:solidFill>
            <a:schemeClr val="bg1"/>
          </a:solid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7687296"/>
        <c:crosses val="autoZero"/>
        <c:crossBetween val="midCat"/>
        <c:majorUnit val="5"/>
        <c:minorUnit val="1"/>
      </c:valAx>
      <c:valAx>
        <c:axId val="187687296"/>
        <c:scaling>
          <c:orientation val="minMax"/>
          <c:max val="25000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MT CO2e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7685504"/>
        <c:crosses val="autoZero"/>
        <c:crossBetween val="midCat"/>
        <c:majorUnit val="200000"/>
      </c:valAx>
      <c:spPr>
        <a:noFill/>
        <a:ln>
          <a:noFill/>
        </a:ln>
        <a:effectLst/>
      </c:spPr>
    </c:plotArea>
    <c:legend>
      <c:legendPos val="r"/>
      <c:layout>
        <c:manualLayout>
          <c:xMode val="edge"/>
          <c:yMode val="edge"/>
          <c:x val="0.74229653568799814"/>
          <c:y val="0.67100003829388843"/>
          <c:w val="0.23885639985304633"/>
          <c:h val="0.16249920451481739"/>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093451281553"/>
          <c:y val="4.0135173942951782E-2"/>
          <c:w val="0.59811225519886935"/>
          <c:h val="0.80137865329111446"/>
        </c:manualLayout>
      </c:layout>
      <c:scatterChart>
        <c:scatterStyle val="lineMarker"/>
        <c:varyColors val="0"/>
        <c:ser>
          <c:idx val="0"/>
          <c:order val="0"/>
          <c:tx>
            <c:strRef>
              <c:f>'2030 + 2040 + 2050 Forecasts'!$C$78</c:f>
              <c:strCache>
                <c:ptCount val="1"/>
                <c:pt idx="0">
                  <c:v>BAU Projections</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8"/>
            <c:spPr>
              <a:solidFill>
                <a:schemeClr val="tx1">
                  <a:lumMod val="95000"/>
                  <a:lumOff val="5000"/>
                </a:schemeClr>
              </a:solidFill>
            </c:spPr>
          </c:marker>
          <c:dLbls>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('2030 + 2040 + 2050 Forecasts'!$B$79,'2030 + 2040 + 2050 Forecasts'!$B$97,'2030 + 2040 + 2050 Forecasts'!$B$107,'2030 + 2040 + 2050 Forecasts'!$B$117)</c:f>
              <c:numCache>
                <c:formatCode>General</c:formatCode>
                <c:ptCount val="4"/>
                <c:pt idx="0">
                  <c:v>2012</c:v>
                </c:pt>
                <c:pt idx="1">
                  <c:v>2030</c:v>
                </c:pt>
                <c:pt idx="2">
                  <c:v>2040</c:v>
                </c:pt>
                <c:pt idx="3">
                  <c:v>2050</c:v>
                </c:pt>
              </c:numCache>
            </c:numRef>
          </c:xVal>
          <c:yVal>
            <c:numRef>
              <c:f>('2030 + 2040 + 2050 Forecasts'!$C$79,'2030 + 2040 + 2050 Forecasts'!$C$97,'2030 + 2040 + 2050 Forecasts'!$C$107,'2030 + 2040 + 2050 Forecasts'!$C$117)</c:f>
              <c:numCache>
                <c:formatCode>#,##0</c:formatCode>
                <c:ptCount val="4"/>
                <c:pt idx="0">
                  <c:v>1462236.4226174115</c:v>
                </c:pt>
                <c:pt idx="1">
                  <c:v>1677283.7077658377</c:v>
                </c:pt>
                <c:pt idx="2">
                  <c:v>1734681.2614733973</c:v>
                </c:pt>
                <c:pt idx="3">
                  <c:v>1809066.7312383614</c:v>
                </c:pt>
              </c:numCache>
            </c:numRef>
          </c:yVal>
          <c:smooth val="0"/>
          <c:extLst>
            <c:ext xmlns:c16="http://schemas.microsoft.com/office/drawing/2014/chart" uri="{C3380CC4-5D6E-409C-BE32-E72D297353CC}">
              <c16:uniqueId val="{00000000-1857-4CBC-AA56-D1F89BC0D477}"/>
            </c:ext>
          </c:extLst>
        </c:ser>
        <c:ser>
          <c:idx val="1"/>
          <c:order val="1"/>
          <c:tx>
            <c:strRef>
              <c:f>'2030 + 2040 + 2050 Forecasts'!$D$78</c:f>
              <c:strCache>
                <c:ptCount val="1"/>
                <c:pt idx="0">
                  <c:v>BAU Projections w/ State Measures</c:v>
                </c:pt>
              </c:strCache>
            </c:strRef>
          </c:tx>
          <c:spPr>
            <a:ln w="31750"/>
            <a:effectLst>
              <a:outerShdw blurRad="40005" dist="22860" dir="5400000" algn="t" rotWithShape="0">
                <a:prstClr val="black">
                  <a:alpha val="40000"/>
                </a:prstClr>
              </a:outerShdw>
            </a:effectLst>
          </c:spPr>
          <c:marker>
            <c:symbol val="circle"/>
            <c:size val="8"/>
            <c:spPr>
              <a:solidFill>
                <a:schemeClr val="tx1">
                  <a:lumMod val="95000"/>
                  <a:lumOff val="5000"/>
                </a:schemeClr>
              </a:solidFill>
              <a:effectLst>
                <a:outerShdw blurRad="40005" dist="22860" dir="5400000" algn="t" rotWithShape="0">
                  <a:prstClr val="black">
                    <a:alpha val="40000"/>
                  </a:prst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1857-4CBC-AA56-D1F89BC0D477}"/>
                </c:ext>
              </c:extLst>
            </c:dLbl>
            <c:spPr>
              <a:noFill/>
              <a:ln>
                <a:noFill/>
              </a:ln>
              <a:effectLst/>
            </c:spPr>
            <c:txPr>
              <a:bodyPr/>
              <a:lstStyle/>
              <a:p>
                <a:pPr>
                  <a:defRPr sz="9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('2030 + 2040 + 2050 Forecasts'!$B$79,'2030 + 2040 + 2050 Forecasts'!$B$97,'2030 + 2040 + 2050 Forecasts'!$B$107,'2030 + 2040 + 2050 Forecasts'!$B$117)</c:f>
              <c:numCache>
                <c:formatCode>General</c:formatCode>
                <c:ptCount val="4"/>
                <c:pt idx="0">
                  <c:v>2012</c:v>
                </c:pt>
                <c:pt idx="1">
                  <c:v>2030</c:v>
                </c:pt>
                <c:pt idx="2">
                  <c:v>2040</c:v>
                </c:pt>
                <c:pt idx="3">
                  <c:v>2050</c:v>
                </c:pt>
              </c:numCache>
            </c:numRef>
          </c:xVal>
          <c:yVal>
            <c:numRef>
              <c:f>('2030 + 2040 + 2050 Forecasts'!$D$79,'2030 + 2040 + 2050 Forecasts'!$D$97,'2030 + 2040 + 2050 Forecasts'!$D$107,'2030 + 2040 + 2050 Forecasts'!$D$117)</c:f>
              <c:numCache>
                <c:formatCode>#,##0</c:formatCode>
                <c:ptCount val="4"/>
                <c:pt idx="0">
                  <c:v>1462236.4226174115</c:v>
                </c:pt>
                <c:pt idx="1">
                  <c:v>1500065.4003531225</c:v>
                </c:pt>
                <c:pt idx="2">
                  <c:v>1471492.6923841685</c:v>
                </c:pt>
                <c:pt idx="3">
                  <c:v>1459711.6033470824</c:v>
                </c:pt>
              </c:numCache>
            </c:numRef>
          </c:yVal>
          <c:smooth val="0"/>
          <c:extLst>
            <c:ext xmlns:c16="http://schemas.microsoft.com/office/drawing/2014/chart" uri="{C3380CC4-5D6E-409C-BE32-E72D297353CC}">
              <c16:uniqueId val="{00000002-1857-4CBC-AA56-D1F89BC0D477}"/>
            </c:ext>
          </c:extLst>
        </c:ser>
        <c:ser>
          <c:idx val="2"/>
          <c:order val="2"/>
          <c:tx>
            <c:strRef>
              <c:f>'2030 + 2040 + 2050 Forecasts'!$F$78</c:f>
              <c:strCache>
                <c:ptCount val="1"/>
                <c:pt idx="0">
                  <c:v>Emissions with State + City Measures</c:v>
                </c:pt>
              </c:strCache>
            </c:strRef>
          </c:tx>
          <c:spPr>
            <a:ln w="31750"/>
            <a:effectLst>
              <a:outerShdw blurRad="40005" dist="22860" dir="5400000" algn="ctr" rotWithShape="0">
                <a:schemeClr val="tx1">
                  <a:alpha val="40000"/>
                </a:schemeClr>
              </a:outerShdw>
            </a:effectLst>
          </c:spPr>
          <c:marker>
            <c:symbol val="circle"/>
            <c:size val="8"/>
            <c:spPr>
              <a:solidFill>
                <a:schemeClr val="tx1">
                  <a:lumMod val="95000"/>
                  <a:lumOff val="5000"/>
                </a:schemeClr>
              </a:solidFill>
              <a:effectLst>
                <a:outerShdw blurRad="40005" dist="22860" dir="5400000" algn="ctr" rotWithShape="0">
                  <a:schemeClr val="tx1">
                    <a:alpha val="40000"/>
                  </a:scheme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1857-4CBC-AA56-D1F89BC0D477}"/>
                </c:ext>
              </c:extLst>
            </c:dLbl>
            <c:spPr>
              <a:noFill/>
              <a:ln>
                <a:noFill/>
              </a:ln>
              <a:effectLst/>
            </c:spPr>
            <c:txPr>
              <a:bodyPr/>
              <a:lstStyle/>
              <a:p>
                <a:pPr>
                  <a:defRPr sz="9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('2030 + 2040 + 2050 Forecasts'!$B$79,'2030 + 2040 + 2050 Forecasts'!$B$97,'2030 + 2040 + 2050 Forecasts'!$B$107,'2030 + 2040 + 2050 Forecasts'!$B$117)</c:f>
              <c:numCache>
                <c:formatCode>General</c:formatCode>
                <c:ptCount val="4"/>
                <c:pt idx="0">
                  <c:v>2012</c:v>
                </c:pt>
                <c:pt idx="1">
                  <c:v>2030</c:v>
                </c:pt>
                <c:pt idx="2">
                  <c:v>2040</c:v>
                </c:pt>
                <c:pt idx="3">
                  <c:v>2050</c:v>
                </c:pt>
              </c:numCache>
            </c:numRef>
          </c:xVal>
          <c:yVal>
            <c:numRef>
              <c:f>('2030 + 2040 + 2050 Forecasts'!$F$79,'2030 + 2040 + 2050 Forecasts'!$F$97,'2030 + 2040 + 2050 Forecasts'!$F$107,'2030 + 2040 + 2050 Forecasts'!$F$117)</c:f>
              <c:numCache>
                <c:formatCode>#,##0</c:formatCode>
                <c:ptCount val="4"/>
                <c:pt idx="0">
                  <c:v>1462236.4226174115</c:v>
                </c:pt>
                <c:pt idx="1">
                  <c:v>1169338.8398690301</c:v>
                </c:pt>
                <c:pt idx="2">
                  <c:v>893957.985832543</c:v>
                </c:pt>
                <c:pt idx="3">
                  <c:v>882125.1471822306</c:v>
                </c:pt>
              </c:numCache>
            </c:numRef>
          </c:yVal>
          <c:smooth val="0"/>
          <c:extLst>
            <c:ext xmlns:c16="http://schemas.microsoft.com/office/drawing/2014/chart" uri="{C3380CC4-5D6E-409C-BE32-E72D297353CC}">
              <c16:uniqueId val="{00000004-1857-4CBC-AA56-D1F89BC0D477}"/>
            </c:ext>
          </c:extLst>
        </c:ser>
        <c:dLbls>
          <c:showLegendKey val="0"/>
          <c:showVal val="0"/>
          <c:showCatName val="0"/>
          <c:showSerName val="0"/>
          <c:showPercent val="0"/>
          <c:showBubbleSize val="0"/>
        </c:dLbls>
        <c:axId val="194579840"/>
        <c:axId val="194634880"/>
      </c:scatterChart>
      <c:valAx>
        <c:axId val="194579840"/>
        <c:scaling>
          <c:orientation val="minMax"/>
          <c:max val="2050"/>
        </c:scaling>
        <c:delete val="0"/>
        <c:axPos val="b"/>
        <c:numFmt formatCode="General" sourceLinked="1"/>
        <c:majorTickMark val="out"/>
        <c:minorTickMark val="in"/>
        <c:tickLblPos val="nextTo"/>
        <c:spPr>
          <a:solidFill>
            <a:schemeClr val="bg1"/>
          </a:solid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634880"/>
        <c:crosses val="autoZero"/>
        <c:crossBetween val="midCat"/>
        <c:majorUnit val="5"/>
        <c:minorUnit val="1"/>
      </c:valAx>
      <c:valAx>
        <c:axId val="194634880"/>
        <c:scaling>
          <c:orientation val="minMax"/>
          <c:max val="25000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MT CO2e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579840"/>
        <c:crosses val="autoZero"/>
        <c:crossBetween val="midCat"/>
        <c:majorUnit val="200000"/>
      </c:valAx>
      <c:spPr>
        <a:noFill/>
        <a:ln>
          <a:noFill/>
        </a:ln>
        <a:effectLst/>
      </c:spPr>
    </c:plotArea>
    <c:legend>
      <c:legendPos val="r"/>
      <c:layout>
        <c:manualLayout>
          <c:xMode val="edge"/>
          <c:yMode val="edge"/>
          <c:x val="0.75279746281714788"/>
          <c:y val="0.41293201339156449"/>
          <c:w val="0.24720248763249664"/>
          <c:h val="0.42977368042517816"/>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98EEB05CCA4C6F8FC27337BA271398"/>
        <w:category>
          <w:name w:val="General"/>
          <w:gallery w:val="placeholder"/>
        </w:category>
        <w:types>
          <w:type w:val="bbPlcHdr"/>
        </w:types>
        <w:behaviors>
          <w:behavior w:val="content"/>
        </w:behaviors>
        <w:guid w:val="{835850D0-B151-450D-B3EF-B13D8BEDC0AF}"/>
      </w:docPartPr>
      <w:docPartBody>
        <w:p w:rsidR="00457571" w:rsidRDefault="00201B50" w:rsidP="00201B50">
          <w:pPr>
            <w:pStyle w:val="B698EEB05CCA4C6F8FC27337BA271398"/>
          </w:pPr>
          <w:r w:rsidRPr="00CA117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roman"/>
    <w:notTrueType/>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B50"/>
    <w:rsid w:val="00071C89"/>
    <w:rsid w:val="000C68C6"/>
    <w:rsid w:val="001754B9"/>
    <w:rsid w:val="001E6EA5"/>
    <w:rsid w:val="00201B50"/>
    <w:rsid w:val="002367F2"/>
    <w:rsid w:val="00255577"/>
    <w:rsid w:val="002A47C8"/>
    <w:rsid w:val="002F2FF0"/>
    <w:rsid w:val="003D3157"/>
    <w:rsid w:val="00457571"/>
    <w:rsid w:val="00544FBB"/>
    <w:rsid w:val="00657AB5"/>
    <w:rsid w:val="00660875"/>
    <w:rsid w:val="00662F8B"/>
    <w:rsid w:val="00684175"/>
    <w:rsid w:val="006B219D"/>
    <w:rsid w:val="006E1B7E"/>
    <w:rsid w:val="00706B6A"/>
    <w:rsid w:val="00764084"/>
    <w:rsid w:val="007A68C9"/>
    <w:rsid w:val="007C70B3"/>
    <w:rsid w:val="008909A4"/>
    <w:rsid w:val="009534F5"/>
    <w:rsid w:val="009A4AA3"/>
    <w:rsid w:val="009B6E02"/>
    <w:rsid w:val="00A21620"/>
    <w:rsid w:val="00A47FF4"/>
    <w:rsid w:val="00AC1749"/>
    <w:rsid w:val="00AC7DF6"/>
    <w:rsid w:val="00B119A9"/>
    <w:rsid w:val="00B43027"/>
    <w:rsid w:val="00BA6D63"/>
    <w:rsid w:val="00BD23FD"/>
    <w:rsid w:val="00C832FE"/>
    <w:rsid w:val="00D21A1C"/>
    <w:rsid w:val="00D62A24"/>
    <w:rsid w:val="00D64430"/>
    <w:rsid w:val="00DA05B1"/>
    <w:rsid w:val="00DE6D89"/>
    <w:rsid w:val="00E777C9"/>
    <w:rsid w:val="00ED7056"/>
    <w:rsid w:val="00F07ACD"/>
    <w:rsid w:val="00F15796"/>
    <w:rsid w:val="00F20245"/>
    <w:rsid w:val="00F27DA0"/>
    <w:rsid w:val="00F572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4CAF11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201B50"/>
    <w:rPr>
      <w:noProof/>
      <w:vanish/>
      <w:color w:val="808080"/>
    </w:rPr>
  </w:style>
  <w:style w:type="paragraph" w:customStyle="1" w:styleId="F754F326876E4E0F9DBF0FF4FD9960AB">
    <w:name w:val="F754F326876E4E0F9DBF0FF4FD9960AB"/>
    <w:rsid w:val="00201B50"/>
  </w:style>
  <w:style w:type="paragraph" w:customStyle="1" w:styleId="E5F299074AF14CCBB08F70E89A5880CE">
    <w:name w:val="E5F299074AF14CCBB08F70E89A5880CE"/>
    <w:rsid w:val="00201B50"/>
  </w:style>
  <w:style w:type="paragraph" w:customStyle="1" w:styleId="338F4AC26D7C42F29D2203DEAEFE2AD1">
    <w:name w:val="338F4AC26D7C42F29D2203DEAEFE2AD1"/>
    <w:rsid w:val="00201B50"/>
  </w:style>
  <w:style w:type="paragraph" w:customStyle="1" w:styleId="43CFEE98792349FD85CC0ED57044950A">
    <w:name w:val="43CFEE98792349FD85CC0ED57044950A"/>
    <w:rsid w:val="00201B50"/>
  </w:style>
  <w:style w:type="paragraph" w:customStyle="1" w:styleId="B698EEB05CCA4C6F8FC27337BA271398">
    <w:name w:val="B698EEB05CCA4C6F8FC27337BA271398"/>
    <w:rsid w:val="00201B50"/>
  </w:style>
  <w:style w:type="paragraph" w:customStyle="1" w:styleId="BBB9B7917D7E4FB5A2A08B1F2FE39AB7">
    <w:name w:val="BBB9B7917D7E4FB5A2A08B1F2FE39AB7"/>
    <w:rsid w:val="00201B50"/>
  </w:style>
  <w:style w:type="paragraph" w:customStyle="1" w:styleId="F904D17100A94725B88084872279BB95">
    <w:name w:val="F904D17100A94725B88084872279BB95"/>
    <w:rsid w:val="00201B50"/>
  </w:style>
  <w:style w:type="paragraph" w:customStyle="1" w:styleId="F846C79F290B4D1D98C9D591330B3E9D">
    <w:name w:val="F846C79F290B4D1D98C9D591330B3E9D"/>
    <w:rsid w:val="00201B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6B62B84DD4845B6B23A47A88F64CE" ma:contentTypeVersion="0" ma:contentTypeDescription="Create a new document." ma:contentTypeScope="" ma:versionID="93352f92d2c4f4f4594d39b0cbede9a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Kat15</b:Tag>
    <b:SourceType>JournalArticle</b:SourceType>
    <b:Guid>{6B4DF877-B2B0-480E-88E6-1E12EFBA95E1}</b:Guid>
    <b:Title>Methane emissions from natural gas infrastrucutre and use in the urban region of Boston, Massachusetts</b:Title>
    <b:Year>2015</b:Year>
    <b:Author>
      <b:Author>
        <b:NameList>
          <b:Person>
            <b:Last>Kathryn McKain</b:Last>
            <b:First>et.</b:First>
            <b:Middle>al.</b:Middle>
          </b:Person>
        </b:NameList>
      </b:Author>
    </b:Author>
    <b:JournalName>Proceedings of the National Academy of Sciences of the United States of America</b:JournalName>
    <b:Pages>1941-1946</b:Pages>
    <b:RefOrder>1</b:RefOrder>
  </b:Source>
</b:Sources>
</file>

<file path=customXml/itemProps1.xml><?xml version="1.0" encoding="utf-8"?>
<ds:datastoreItem xmlns:ds="http://schemas.openxmlformats.org/officeDocument/2006/customXml" ds:itemID="{76FCE0AC-0ED6-4937-9878-A53D11165650}">
  <ds:schemaRefs>
    <ds:schemaRef ds:uri="http://schemas.microsoft.com/sharepoint/v3/contenttype/forms"/>
  </ds:schemaRefs>
</ds:datastoreItem>
</file>

<file path=customXml/itemProps2.xml><?xml version="1.0" encoding="utf-8"?>
<ds:datastoreItem xmlns:ds="http://schemas.openxmlformats.org/officeDocument/2006/customXml" ds:itemID="{360EBF3D-07C2-46AB-823B-B2ECE730D1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7D5449-5982-42E7-8228-0CADCBE77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E3F392-A4DB-4901-ADC8-5AD170081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42</Pages>
  <Words>12821</Words>
  <Characters>73084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DNV</Company>
  <LinksUpToDate>false</LinksUpToDate>
  <CharactersWithSpaces>85734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Leahy, Jim</dc:creator>
  <cp:keywords/>
  <dc:description/>
  <cp:lastModifiedBy>Leahy, James</cp:lastModifiedBy>
  <cp:revision>4</cp:revision>
  <cp:lastPrinted>2017-03-16T20:04:00Z</cp:lastPrinted>
  <dcterms:created xsi:type="dcterms:W3CDTF">2017-03-31T18:20:00Z</dcterms:created>
  <dcterms:modified xsi:type="dcterms:W3CDTF">2017-04-02T20:44:00Z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0x010100ED06B62B84DD4845B6B23A47A88F64CE</vt:lpwstr>
  </property>
</Properties>
</file>